
<file path=[Content_Types].xml><?xml version="1.0" encoding="utf-8"?>
<Types xmlns="http://schemas.openxmlformats.org/package/2006/content-types">
  <Default Extension="xml" ContentType="application/xml"/>
  <Default Extension="wmf" ContentType="image/x-wmf"/>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2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2011"/>
      </w:tblGrid>
      <w:tr w14:paraId="60A5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0429F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2011" w:type="dxa"/>
          </w:tcPr>
          <w:p w14:paraId="35819D48">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XX.XXX.XX</w:t>
            </w:r>
          </w:p>
        </w:tc>
      </w:tr>
      <w:tr w14:paraId="05D2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5E25F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2011" w:type="dxa"/>
          </w:tcPr>
          <w:p w14:paraId="78359E7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X XX</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8D4BE0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715CBEF">
            <w:pPr>
              <w:pStyle w:val="49"/>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21</w:t>
            </w:r>
            <w:r>
              <w:fldChar w:fldCharType="end"/>
            </w:r>
            <w:bookmarkEnd w:id="1"/>
          </w:p>
        </w:tc>
      </w:tr>
    </w:tbl>
    <w:p w14:paraId="231722CF">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30BC9B03">
      <w:pPr>
        <w:pStyle w:val="195"/>
        <w:rPr>
          <w:lang w:val="fr-FR"/>
        </w:rPr>
      </w:pPr>
      <w:r>
        <w:rPr>
          <w:lang w:val="fr-FR"/>
        </w:rPr>
        <w:t>DB</w:t>
      </w:r>
      <w:r>
        <w:t>21/T</w:t>
      </w:r>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rPr>
          <w:lang w:val="fr-FR"/>
        </w:rPr>
        <w:t>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14:paraId="01246067">
      <w:pPr>
        <w:pStyle w:val="196"/>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14:paraId="2029A49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29138C1">
      <w:pPr>
        <w:pStyle w:val="50"/>
        <w:framePr w:w="9639" w:h="6976" w:hRule="exact" w:hSpace="0" w:vSpace="0" w:wrap="around" w:hAnchor="page" w:y="6408"/>
        <w:jc w:val="center"/>
        <w:rPr>
          <w:rFonts w:ascii="黑体" w:hAnsi="黑体" w:eastAsia="黑体"/>
          <w:b w:val="0"/>
          <w:bCs w:val="0"/>
          <w:w w:val="100"/>
        </w:rPr>
      </w:pPr>
    </w:p>
    <w:p w14:paraId="45A2BE14">
      <w:pPr>
        <w:pStyle w:val="197"/>
        <w:framePr w:h="6974" w:hRule="exact" w:wrap="around" w:x="1419" w:anchorLock="1"/>
      </w:pPr>
      <w:r>
        <w:rPr>
          <w:rFonts w:hint="eastAsia"/>
        </w:rPr>
        <w:t>辽宁省中医诊所建设规范</w:t>
      </w:r>
    </w:p>
    <w:p w14:paraId="3C3F7DFA">
      <w:pPr>
        <w:pStyle w:val="125"/>
        <w:framePr w:w="9639" w:h="6974" w:hRule="exact" w:wrap="around" w:vAnchor="page" w:hAnchor="page" w:x="1419" w:y="6408" w:anchorLock="1"/>
        <w:textAlignment w:val="bottom"/>
        <w:rPr>
          <w:rFonts w:hint="eastAsia"/>
        </w:rPr>
      </w:pPr>
      <w:r>
        <w:rPr>
          <w:rFonts w:hint="eastAsia"/>
          <w:lang w:val="en-US" w:eastAsia="zh-CN"/>
        </w:rPr>
        <w:t xml:space="preserve">                                                                     </w:t>
      </w:r>
      <w:r>
        <w:rPr>
          <w:rFonts w:hint="eastAsia"/>
        </w:rPr>
        <w:t>Specification for construction of traditional chinese medicine clinics</w:t>
      </w:r>
    </w:p>
    <w:p w14:paraId="21F8789D">
      <w:pPr>
        <w:pStyle w:val="125"/>
        <w:framePr w:w="9639" w:h="6974" w:hRule="exact" w:wrap="around" w:vAnchor="page" w:hAnchor="page" w:x="1419" w:y="6408" w:anchorLock="1"/>
        <w:textAlignment w:val="bottom"/>
        <w:rPr>
          <w:rFonts w:ascii="黑体" w:hAnsi="黑体" w:eastAsia="黑体"/>
          <w:szCs w:val="28"/>
        </w:rPr>
      </w:pPr>
      <w:r>
        <w:rPr>
          <w:rFonts w:hint="eastAsia"/>
        </w:rPr>
        <w:t>in Liaoning province</w:t>
      </w:r>
    </w:p>
    <w:p w14:paraId="03C7634F">
      <w:pPr>
        <w:framePr w:w="9639" w:h="6974" w:hRule="exact" w:wrap="around" w:vAnchor="page" w:hAnchor="page" w:x="1419" w:y="6408" w:anchorLock="1"/>
        <w:spacing w:line="760" w:lineRule="exact"/>
        <w:ind w:left="-1418"/>
      </w:pPr>
    </w:p>
    <w:p w14:paraId="453C68DE">
      <w:pPr>
        <w:pStyle w:val="125"/>
        <w:framePr w:w="9639" w:h="6974" w:hRule="exact" w:wrap="around" w:vAnchor="page" w:hAnchor="page" w:x="1419" w:y="6408" w:anchorLock="1"/>
        <w:textAlignment w:val="bottom"/>
        <w:rPr>
          <w:rFonts w:eastAsia="黑体"/>
          <w:szCs w:val="28"/>
        </w:rPr>
      </w:pPr>
    </w:p>
    <w:p w14:paraId="4B6413B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fldChar w:fldCharType="separate"/>
      </w:r>
      <w:r>
        <w:rPr>
          <w:sz w:val="24"/>
          <w:szCs w:val="28"/>
        </w:rPr>
        <w:fldChar w:fldCharType="end"/>
      </w:r>
      <w:bookmarkEnd w:id="6"/>
    </w:p>
    <w:p w14:paraId="5A160A23">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7"/>
    </w:p>
    <w:p w14:paraId="2D6520F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14:paraId="4CD9ACCE">
      <w:pPr>
        <w:pStyle w:val="193"/>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04543190">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7160DE4B">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15"/>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A88A544">
      <w:pPr>
        <w:rPr>
          <w:rFonts w:ascii="宋体" w:hAnsi="宋体"/>
          <w:sz w:val="28"/>
          <w:szCs w:val="28"/>
        </w:rPr>
        <w:sectPr>
          <w:headerReference r:id="rId6" w:type="first"/>
          <w:footerReference r:id="rId9" w:type="first"/>
          <w:headerReference r:id="rId5" w:type="default"/>
          <w:footerReference r:id="rId7" w:type="default"/>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438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438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4AD86D1">
      <w:pPr>
        <w:pStyle w:val="89"/>
        <w:spacing w:before="900" w:after="468"/>
      </w:pPr>
      <w:bookmarkStart w:id="16" w:name="BookMark2"/>
      <w:r>
        <w:rPr>
          <w:spacing w:val="320"/>
        </w:rPr>
        <w:t>前</w:t>
      </w:r>
      <w:r>
        <w:t>言</w:t>
      </w:r>
    </w:p>
    <w:p w14:paraId="1885A9B2">
      <w:pPr>
        <w:pStyle w:val="56"/>
        <w:ind w:firstLine="420"/>
      </w:pPr>
      <w:r>
        <w:rPr>
          <w:rFonts w:hint="eastAsia"/>
        </w:rPr>
        <w:t>本文件按照GB/T 1.1—2020《标准化工作导则  第1部分：标准化文件的结构和起草规则》的规定起草。</w:t>
      </w:r>
    </w:p>
    <w:p w14:paraId="0B946496">
      <w:pPr>
        <w:pStyle w:val="56"/>
        <w:ind w:firstLine="420"/>
      </w:pPr>
      <w:r>
        <w:rPr>
          <w:rFonts w:hint="eastAsia"/>
        </w:rPr>
        <w:t>请注意本文件的某些内容可能涉及专利。本文件的发布机构不承担识别专利的责任。</w:t>
      </w:r>
    </w:p>
    <w:p w14:paraId="6D25A4AA">
      <w:pPr>
        <w:pStyle w:val="56"/>
        <w:ind w:firstLine="420"/>
      </w:pPr>
      <w:r>
        <w:rPr>
          <w:rFonts w:hint="eastAsia"/>
        </w:rPr>
        <w:t>本文件由辽宁省卫生</w:t>
      </w:r>
      <w:r>
        <w:rPr>
          <w:rFonts w:hint="eastAsia"/>
          <w:lang w:val="en-US" w:eastAsia="zh-CN"/>
        </w:rPr>
        <w:t>健康委</w:t>
      </w:r>
      <w:r>
        <w:rPr>
          <w:rFonts w:hint="eastAsia"/>
        </w:rPr>
        <w:t>提出并归口。</w:t>
      </w:r>
    </w:p>
    <w:p w14:paraId="71000B1F">
      <w:pPr>
        <w:pStyle w:val="56"/>
        <w:ind w:firstLine="420"/>
      </w:pPr>
      <w:r>
        <w:rPr>
          <w:rFonts w:hint="eastAsia"/>
        </w:rPr>
        <w:t>本文件起草单位：辽宁省卫生健康服务中心、</w:t>
      </w:r>
      <w:r>
        <w:rPr>
          <w:rFonts w:hint="eastAsia"/>
          <w:lang w:val="en-US" w:eastAsia="zh-CN"/>
        </w:rPr>
        <w:t>辽宁中医药大学</w:t>
      </w:r>
      <w:r>
        <w:rPr>
          <w:rFonts w:hint="eastAsia"/>
        </w:rPr>
        <w:t>。</w:t>
      </w:r>
    </w:p>
    <w:p w14:paraId="2490D5A0">
      <w:pPr>
        <w:pStyle w:val="56"/>
        <w:ind w:firstLine="420"/>
      </w:pPr>
      <w:r>
        <w:rPr>
          <w:rFonts w:hint="eastAsia"/>
        </w:rPr>
        <w:t>本文件主要起草人：战东、闫密、王翠微、窦志勇、孟琳、陈楠、刘嘉、崔月、孙兆姝、王东、李雪、王双、王霖、马欣、赵丽、尹娣。</w:t>
      </w:r>
    </w:p>
    <w:p w14:paraId="325CA2A9">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4BB55916">
      <w:pPr>
        <w:pStyle w:val="56"/>
        <w:ind w:firstLine="420"/>
      </w:pPr>
      <w:r>
        <w:rPr>
          <w:rFonts w:hint="eastAsia"/>
        </w:rPr>
        <w:t>归口管理部门通讯地址：辽宁省</w:t>
      </w:r>
      <w:r>
        <w:rPr>
          <w:rFonts w:hint="eastAsia"/>
          <w:lang w:val="en-US" w:eastAsia="zh-CN"/>
        </w:rPr>
        <w:t>卫生健康委员会</w:t>
      </w:r>
      <w:r>
        <w:rPr>
          <w:rFonts w:hint="eastAsia"/>
        </w:rPr>
        <w:t>（沈阳市和平区太原北街2号），联系电话：024-23381009。</w:t>
      </w:r>
    </w:p>
    <w:p w14:paraId="46238196">
      <w:pPr>
        <w:pStyle w:val="56"/>
        <w:ind w:firstLine="420"/>
      </w:pPr>
      <w:r>
        <w:rPr>
          <w:rFonts w:hint="eastAsia"/>
        </w:rPr>
        <w:t>文件起草单位通讯地址：辽宁省</w:t>
      </w:r>
      <w:r>
        <w:rPr>
          <w:rFonts w:hint="eastAsia"/>
          <w:lang w:val="en-US" w:eastAsia="zh-CN"/>
        </w:rPr>
        <w:t>卫生健康服务中心</w:t>
      </w:r>
      <w:r>
        <w:rPr>
          <w:rFonts w:hint="eastAsia"/>
        </w:rPr>
        <w:t>（沈阳市和平区砂阳路266号），联系电话：024-</w:t>
      </w:r>
      <w:r>
        <w:rPr>
          <w:rFonts w:hint="eastAsia"/>
          <w:lang w:val="en-US" w:eastAsia="zh-CN"/>
        </w:rPr>
        <w:t>81006200</w:t>
      </w:r>
      <w:r>
        <w:rPr>
          <w:rFonts w:hint="eastAsia"/>
        </w:rPr>
        <w:t>。</w:t>
      </w:r>
    </w:p>
    <w:p w14:paraId="6AE5DAF6">
      <w:pPr>
        <w:pStyle w:val="56"/>
        <w:ind w:firstLine="420"/>
      </w:pPr>
    </w:p>
    <w:p w14:paraId="5BFFAA73">
      <w:pPr>
        <w:pStyle w:val="56"/>
        <w:ind w:firstLine="420"/>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p>
    <w:bookmarkEnd w:id="16"/>
    <w:p w14:paraId="2079BBEA">
      <w:pPr>
        <w:spacing w:line="20" w:lineRule="exact"/>
        <w:jc w:val="center"/>
        <w:rPr>
          <w:rFonts w:ascii="黑体" w:hAnsi="黑体" w:eastAsia="黑体"/>
          <w:sz w:val="32"/>
          <w:szCs w:val="32"/>
        </w:rPr>
      </w:pPr>
      <w:bookmarkStart w:id="17" w:name="BookMark4"/>
    </w:p>
    <w:p w14:paraId="6665EAD0">
      <w:pPr>
        <w:spacing w:line="20" w:lineRule="exact"/>
        <w:jc w:val="center"/>
        <w:rPr>
          <w:rFonts w:ascii="黑体" w:hAnsi="黑体" w:eastAsia="黑体"/>
          <w:sz w:val="32"/>
          <w:szCs w:val="32"/>
        </w:rPr>
      </w:pPr>
    </w:p>
    <w:sdt>
      <w:sdtPr>
        <w:tag w:val="NEW_STAND_NAME"/>
        <w:id w:val="595910757"/>
        <w:lock w:val="sdtLocked"/>
        <w:placeholder>
          <w:docPart w:val="76421BF0758B4BF7B7DA2A0ACB039B57"/>
        </w:placeholder>
      </w:sdtPr>
      <w:sdtContent>
        <w:p w14:paraId="7CEE8CF0">
          <w:pPr>
            <w:pStyle w:val="177"/>
            <w:spacing w:before="312" w:beforeLines="100" w:after="686" w:afterLines="220"/>
          </w:pPr>
          <w:bookmarkStart w:id="18" w:name="NEW_STAND_NAME"/>
          <w:r>
            <w:rPr>
              <w:rFonts w:hint="eastAsia"/>
            </w:rPr>
            <w:t>辽宁省中医诊所建设规范</w:t>
          </w:r>
        </w:p>
      </w:sdtContent>
    </w:sdt>
    <w:bookmarkEnd w:id="18"/>
    <w:p w14:paraId="16DFE9B6">
      <w:pPr>
        <w:pStyle w:val="104"/>
        <w:spacing w:before="312" w:after="312"/>
      </w:pPr>
      <w:bookmarkStart w:id="19" w:name="_Toc24884211"/>
      <w:bookmarkStart w:id="20" w:name="_Toc17233325"/>
      <w:bookmarkStart w:id="21" w:name="_Toc26718930"/>
      <w:bookmarkStart w:id="22" w:name="_Toc26986530"/>
      <w:bookmarkStart w:id="23" w:name="_Toc26986771"/>
      <w:bookmarkStart w:id="24" w:name="_Toc97191423"/>
      <w:bookmarkStart w:id="25" w:name="_Toc17233333"/>
      <w:bookmarkStart w:id="26" w:name="_Toc24884218"/>
      <w:bookmarkStart w:id="27" w:name="_Toc26648465"/>
      <w:r>
        <w:rPr>
          <w:rFonts w:hint="eastAsia"/>
        </w:rPr>
        <w:t>范围</w:t>
      </w:r>
      <w:bookmarkEnd w:id="19"/>
      <w:bookmarkEnd w:id="20"/>
      <w:bookmarkEnd w:id="21"/>
      <w:bookmarkEnd w:id="22"/>
      <w:bookmarkEnd w:id="23"/>
      <w:bookmarkEnd w:id="24"/>
      <w:bookmarkEnd w:id="25"/>
      <w:bookmarkEnd w:id="26"/>
      <w:bookmarkEnd w:id="27"/>
    </w:p>
    <w:p w14:paraId="47D9142D">
      <w:pPr>
        <w:pStyle w:val="56"/>
        <w:ind w:firstLine="420"/>
        <w:rPr>
          <w:rFonts w:hint="eastAsia"/>
        </w:rPr>
      </w:pPr>
      <w:bookmarkStart w:id="28" w:name="_Toc17233334"/>
      <w:bookmarkStart w:id="29" w:name="_Toc24884212"/>
      <w:bookmarkStart w:id="30" w:name="_Toc26648466"/>
      <w:bookmarkStart w:id="31" w:name="_Toc17233326"/>
      <w:bookmarkStart w:id="32" w:name="_Toc24884219"/>
      <w:r>
        <w:rPr>
          <w:rFonts w:hint="eastAsia"/>
        </w:rPr>
        <w:t>本文件规定了中医诊所的命名要求、诊疗科目及范围、人员资质、设备、房屋、诊所周边环境、药品管理、医疗废物、消防、管理制度和操作规范、信息系统等具体要求。</w:t>
      </w:r>
    </w:p>
    <w:p w14:paraId="04450042">
      <w:pPr>
        <w:pStyle w:val="56"/>
        <w:ind w:firstLine="420"/>
      </w:pPr>
      <w:r>
        <w:rPr>
          <w:rFonts w:hint="eastAsia"/>
        </w:rPr>
        <w:t xml:space="preserve">本文件适用于辽宁省内中医诊所（含民族医诊所）的规范化建设和管理。 </w:t>
      </w:r>
    </w:p>
    <w:p w14:paraId="1D1E0CA1">
      <w:pPr>
        <w:pStyle w:val="104"/>
        <w:spacing w:before="312" w:after="312"/>
      </w:pPr>
      <w:bookmarkStart w:id="33" w:name="_Toc97191424"/>
      <w:bookmarkStart w:id="34" w:name="_Toc26986531"/>
      <w:bookmarkStart w:id="35" w:name="_Toc26986772"/>
      <w:bookmarkStart w:id="36" w:name="_Toc26718931"/>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9256ED21DBBC46AABF01B665F5654D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C711A29">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EB38E3A">
      <w:pPr>
        <w:widowControl/>
        <w:ind w:firstLine="420" w:firstLineChars="200"/>
        <w:jc w:val="left"/>
        <w:rPr>
          <w:rFonts w:ascii="宋体" w:hAnsi="宋体" w:cs="宋体"/>
          <w:color w:val="000000"/>
          <w:kern w:val="0"/>
          <w:lang w:bidi="ar"/>
        </w:rPr>
      </w:pPr>
      <w:bookmarkStart w:id="37" w:name="_Toc97191425"/>
      <w:r>
        <w:rPr>
          <w:rFonts w:hint="eastAsia" w:ascii="宋体" w:hAnsi="宋体" w:cs="宋体"/>
          <w:color w:val="000000"/>
          <w:kern w:val="0"/>
          <w:lang w:bidi="ar"/>
        </w:rPr>
        <w:t>GB 18466 医疗机构水污染物排放标准</w:t>
      </w:r>
    </w:p>
    <w:p w14:paraId="7FC1F3BB">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GB </w:t>
      </w:r>
      <w:bookmarkStart w:id="60" w:name="_GoBack"/>
      <w:bookmarkEnd w:id="60"/>
      <w:r>
        <w:rPr>
          <w:rFonts w:hint="eastAsia" w:ascii="宋体" w:hAnsi="宋体" w:cs="宋体"/>
          <w:color w:val="000000"/>
          <w:kern w:val="0"/>
          <w:lang w:bidi="ar"/>
        </w:rPr>
        <w:t xml:space="preserve">20286 公共场所阻燃制品及组件燃烧性能要求和标识 </w:t>
      </w:r>
    </w:p>
    <w:p w14:paraId="4ACB8F4E">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GB 50222 建筑内部装修设计防火规范</w:t>
      </w:r>
    </w:p>
    <w:p w14:paraId="4CE5ED48">
      <w:pPr>
        <w:widowControl/>
        <w:ind w:firstLine="420" w:firstLineChars="200"/>
        <w:jc w:val="left"/>
        <w:rPr>
          <w:rFonts w:ascii="宋体" w:hAnsi="宋体" w:cs="宋体"/>
          <w:color w:val="000000"/>
          <w:kern w:val="0"/>
          <w:lang w:bidi="ar"/>
        </w:rPr>
      </w:pPr>
      <w:bookmarkStart w:id="38" w:name="OLE_LINK3"/>
      <w:r>
        <w:rPr>
          <w:rFonts w:hint="eastAsia" w:ascii="宋体" w:hAnsi="宋体" w:cs="宋体"/>
          <w:color w:val="000000"/>
          <w:kern w:val="0"/>
          <w:lang w:bidi="ar"/>
        </w:rPr>
        <w:t>GB 20286 公共场所阻燃制品及组件燃烧性能要求和标识</w:t>
      </w:r>
      <w:bookmarkEnd w:id="38"/>
    </w:p>
    <w:p w14:paraId="004D2FD9">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HJ 421   医疗废物专用包装袋、容器和警示标志标准</w:t>
      </w:r>
    </w:p>
    <w:p w14:paraId="02B18D81">
      <w:pPr>
        <w:pStyle w:val="104"/>
        <w:spacing w:before="312" w:after="312"/>
      </w:pPr>
      <w:r>
        <w:rPr>
          <w:rFonts w:hint="eastAsia"/>
          <w:szCs w:val="21"/>
        </w:rPr>
        <w:t>术语和定义</w:t>
      </w:r>
      <w:bookmarkEnd w:id="37"/>
    </w:p>
    <w:sdt>
      <w:sdtPr>
        <w:id w:val="-1909835108"/>
        <w:placeholder>
          <w:docPart w:val="17836A85B5754B5D89A1EAE9C259DBF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C3BA34F">
          <w:pPr>
            <w:pStyle w:val="56"/>
            <w:ind w:firstLine="420"/>
          </w:pPr>
          <w:bookmarkStart w:id="39" w:name="_Toc26986532"/>
          <w:bookmarkEnd w:id="39"/>
          <w:r>
            <w:t>下列术语和定义适用于本文件。</w:t>
          </w:r>
        </w:p>
      </w:sdtContent>
    </w:sdt>
    <w:p w14:paraId="6746210C">
      <w:pPr>
        <w:pStyle w:val="105"/>
        <w:spacing w:before="156" w:after="156"/>
        <w:rPr>
          <w:rFonts w:hint="eastAsia"/>
          <w:szCs w:val="24"/>
        </w:rPr>
      </w:pPr>
    </w:p>
    <w:p w14:paraId="3664CEF4">
      <w:pPr>
        <w:pStyle w:val="105"/>
        <w:numPr>
          <w:ilvl w:val="0"/>
          <w:numId w:val="0"/>
        </w:numPr>
        <w:spacing w:before="156" w:after="156"/>
        <w:ind w:firstLine="420" w:firstLineChars="200"/>
        <w:rPr>
          <w:szCs w:val="24"/>
        </w:rPr>
      </w:pPr>
      <w:r>
        <w:rPr>
          <w:rFonts w:hint="eastAsia"/>
          <w:lang w:bidi="ar"/>
        </w:rPr>
        <w:t xml:space="preserve">中医诊所 TCM（Traditional Chinese Medicine） clinic </w:t>
      </w:r>
    </w:p>
    <w:p w14:paraId="5BE851B9">
      <w:pPr>
        <w:widowControl/>
        <w:adjustRightInd/>
        <w:spacing w:line="240" w:lineRule="auto"/>
        <w:ind w:firstLine="200"/>
        <w:jc w:val="left"/>
        <w:rPr>
          <w:rFonts w:ascii="宋体" w:hAnsi="宋体" w:cs="宋体"/>
          <w:color w:val="000000"/>
          <w:kern w:val="0"/>
          <w:lang w:bidi="ar"/>
        </w:rPr>
      </w:pPr>
      <w:r>
        <w:rPr>
          <w:rFonts w:hint="eastAsia" w:ascii="宋体" w:hAnsi="宋体" w:cs="宋体"/>
          <w:color w:val="000000"/>
          <w:kern w:val="0"/>
          <w:lang w:bidi="ar"/>
        </w:rPr>
        <w:t xml:space="preserve">在中医药理论指导下，运用中药和针灸、拔罐、推拿等非药物疗法开展诊疗服务，以及中药调剂、 汤剂煎煮等中药药事服务的诊所，中医药治疗率 100%。中医诊所适用备案管理。 </w:t>
      </w:r>
    </w:p>
    <w:p w14:paraId="20BE9E33">
      <w:pPr>
        <w:pStyle w:val="105"/>
        <w:spacing w:before="156" w:after="156"/>
        <w:rPr>
          <w:rFonts w:hint="eastAsia"/>
          <w:lang w:bidi="ar"/>
        </w:rPr>
      </w:pPr>
      <w:bookmarkStart w:id="40" w:name="OLE_LINK1"/>
    </w:p>
    <w:p w14:paraId="24A8E68F">
      <w:pPr>
        <w:pStyle w:val="105"/>
        <w:numPr>
          <w:ilvl w:val="0"/>
          <w:numId w:val="0"/>
        </w:numPr>
        <w:spacing w:before="156" w:after="156"/>
        <w:ind w:firstLine="420" w:firstLineChars="200"/>
        <w:rPr>
          <w:lang w:bidi="ar"/>
        </w:rPr>
      </w:pPr>
      <w:r>
        <w:rPr>
          <w:rFonts w:hint="eastAsia"/>
          <w:lang w:bidi="ar"/>
        </w:rPr>
        <w:t xml:space="preserve">中医（专长）医师 </w:t>
      </w:r>
      <w:bookmarkEnd w:id="40"/>
      <w:r>
        <w:rPr>
          <w:rFonts w:hint="eastAsia"/>
          <w:lang w:bidi="ar"/>
        </w:rPr>
        <w:t xml:space="preserve"> TCM Physician with Specific Expertise</w:t>
      </w:r>
    </w:p>
    <w:p w14:paraId="213ECBA6">
      <w:pPr>
        <w:widowControl/>
        <w:adjustRightInd/>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以师承方式学习中医或者经多年中医医术实践的中医医术确有专长人员，经中医医术确有专长人员医师资格考核合格，取得《中医（专长）医师资格证书》。 </w:t>
      </w:r>
    </w:p>
    <w:p w14:paraId="7FC52BCF">
      <w:pPr>
        <w:pStyle w:val="105"/>
        <w:spacing w:before="156" w:after="156"/>
        <w:rPr>
          <w:rFonts w:hint="eastAsia"/>
          <w:szCs w:val="24"/>
        </w:rPr>
      </w:pPr>
    </w:p>
    <w:p w14:paraId="23236980">
      <w:pPr>
        <w:pStyle w:val="105"/>
        <w:numPr>
          <w:ilvl w:val="0"/>
          <w:numId w:val="0"/>
        </w:numPr>
        <w:spacing w:before="156" w:after="156"/>
        <w:ind w:firstLine="420" w:firstLineChars="200"/>
        <w:rPr>
          <w:szCs w:val="24"/>
        </w:rPr>
      </w:pPr>
      <w:r>
        <w:rPr>
          <w:rFonts w:hint="eastAsia"/>
          <w:lang w:bidi="ar"/>
        </w:rPr>
        <w:t xml:space="preserve">中医微创类技术 minimally invasive techniques of TCM </w:t>
      </w:r>
    </w:p>
    <w:p w14:paraId="2C006CAF">
      <w:pPr>
        <w:widowControl/>
        <w:adjustRightInd/>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技术范围主要包括针刀技术、带刃针技术、铍针技术、水针刀技术、刃针技术、钩针技术、长圆针技术、拨针技术、银质针技术及穴位埋线技术等。 </w:t>
      </w:r>
    </w:p>
    <w:p w14:paraId="28F6CD13">
      <w:pPr>
        <w:pStyle w:val="105"/>
        <w:spacing w:before="156" w:after="156"/>
        <w:rPr>
          <w:rFonts w:hint="eastAsia"/>
          <w:lang w:bidi="ar"/>
        </w:rPr>
      </w:pPr>
    </w:p>
    <w:p w14:paraId="4932F983">
      <w:pPr>
        <w:pStyle w:val="105"/>
        <w:numPr>
          <w:ilvl w:val="0"/>
          <w:numId w:val="0"/>
        </w:numPr>
        <w:spacing w:before="156" w:after="156"/>
        <w:ind w:firstLine="420" w:firstLineChars="200"/>
        <w:rPr>
          <w:lang w:bidi="ar"/>
        </w:rPr>
      </w:pPr>
      <w:r>
        <w:rPr>
          <w:rFonts w:hint="eastAsia"/>
          <w:lang w:bidi="ar"/>
        </w:rPr>
        <w:t xml:space="preserve">中药注射剂  medicine injection of TCM </w:t>
      </w:r>
    </w:p>
    <w:p w14:paraId="2D2796D9">
      <w:pPr>
        <w:widowControl/>
        <w:adjustRightInd/>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中药注射剂作为中成药的一种剂型，采用现代科学技术和方法，从中药或天然药物的单方或复方中提取有效物质制成的可供注入人体内的无菌制剂。药品批准文号的格式一般为“国药准字+Z+8位数字”。</w:t>
      </w:r>
    </w:p>
    <w:p w14:paraId="1FBB4D5E">
      <w:pPr>
        <w:pStyle w:val="105"/>
        <w:spacing w:before="156" w:after="156"/>
        <w:rPr>
          <w:rFonts w:hint="eastAsia"/>
          <w:lang w:bidi="ar"/>
        </w:rPr>
      </w:pPr>
    </w:p>
    <w:p w14:paraId="6BD339CB">
      <w:pPr>
        <w:pStyle w:val="105"/>
        <w:numPr>
          <w:ilvl w:val="0"/>
          <w:numId w:val="0"/>
        </w:numPr>
        <w:spacing w:before="156" w:after="156"/>
        <w:ind w:firstLine="420" w:firstLineChars="200"/>
        <w:rPr>
          <w:lang w:bidi="ar"/>
        </w:rPr>
      </w:pPr>
      <w:r>
        <w:rPr>
          <w:rFonts w:hint="eastAsia"/>
          <w:lang w:bidi="ar"/>
        </w:rPr>
        <w:t>穴位注射  acupuncture point injection of TCM</w:t>
      </w:r>
    </w:p>
    <w:p w14:paraId="4907AE33">
      <w:pPr>
        <w:widowControl/>
        <w:adjustRightInd/>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在中医理论指导下，选取人体一定的穴位上，将中药注入穴位，利用针刺与药物对穴位的双重刺激，通过经络传导激发人体调节功能，</w:t>
      </w:r>
    </w:p>
    <w:p w14:paraId="48C32978">
      <w:pPr>
        <w:pStyle w:val="105"/>
        <w:spacing w:before="156" w:after="156"/>
        <w:rPr>
          <w:rFonts w:hint="eastAsia"/>
          <w:lang w:bidi="ar"/>
        </w:rPr>
      </w:pPr>
    </w:p>
    <w:p w14:paraId="1CD39913">
      <w:pPr>
        <w:pStyle w:val="105"/>
        <w:numPr>
          <w:ilvl w:val="0"/>
          <w:numId w:val="0"/>
        </w:numPr>
        <w:spacing w:before="156" w:after="156"/>
        <w:ind w:firstLine="420" w:firstLineChars="200"/>
        <w:rPr>
          <w:lang w:bidi="ar"/>
        </w:rPr>
      </w:pPr>
      <w:r>
        <w:rPr>
          <w:rFonts w:hint="eastAsia"/>
          <w:lang w:bidi="ar"/>
        </w:rPr>
        <w:t>电子病历  electronic medical record</w:t>
      </w:r>
    </w:p>
    <w:p w14:paraId="4CB2232D">
      <w:pPr>
        <w:widowControl/>
        <w:adjustRightInd/>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医务人员在医疗活动过程中，使用医疗机构信息系统生成的文字、符号、图表、图形、数据、影像等数字化信息，并能实现存储、管理、传输和重现的医疗记录，是病历的一种记录形式。</w:t>
      </w:r>
    </w:p>
    <w:p w14:paraId="64610F47">
      <w:pPr>
        <w:pStyle w:val="104"/>
        <w:spacing w:before="312" w:after="312"/>
      </w:pPr>
      <w:bookmarkStart w:id="41" w:name="命名要求"/>
      <w:r>
        <w:rPr>
          <w:rFonts w:hint="eastAsia"/>
        </w:rPr>
        <w:t>命名要求</w:t>
      </w:r>
      <w:bookmarkEnd w:id="41"/>
      <w:r>
        <w:rPr>
          <w:rFonts w:hint="eastAsia"/>
        </w:rPr>
        <w:t xml:space="preserve"> </w:t>
      </w:r>
    </w:p>
    <w:p w14:paraId="3F709C5B">
      <w:pPr>
        <w:pStyle w:val="105"/>
        <w:spacing w:before="156" w:after="156"/>
        <w:rPr>
          <w:lang w:bidi="ar"/>
        </w:rPr>
      </w:pPr>
      <w:r>
        <w:rPr>
          <w:rFonts w:hint="eastAsia"/>
          <w:lang w:bidi="ar"/>
        </w:rPr>
        <w:t xml:space="preserve">命名原则 </w:t>
      </w:r>
    </w:p>
    <w:p w14:paraId="438BA8F3">
      <w:pPr>
        <w:widowControl/>
        <w:adjustRightInd/>
        <w:spacing w:line="240" w:lineRule="auto"/>
        <w:jc w:val="left"/>
      </w:pPr>
      <w:r>
        <w:rPr>
          <w:rFonts w:hint="eastAsia" w:ascii="黑体" w:hAnsi="宋体" w:eastAsia="黑体" w:cs="黑体"/>
          <w:color w:val="000000"/>
          <w:kern w:val="0"/>
          <w:lang w:bidi="ar"/>
        </w:rPr>
        <w:t xml:space="preserve">4.1.1 </w:t>
      </w:r>
      <w:r>
        <w:rPr>
          <w:rFonts w:hint="eastAsia" w:ascii="宋体" w:hAnsi="宋体" w:cs="宋体"/>
          <w:color w:val="000000"/>
          <w:kern w:val="0"/>
          <w:lang w:bidi="ar"/>
        </w:rPr>
        <w:t xml:space="preserve">中医诊所命名应准确、规范、合理、合法。 </w:t>
      </w:r>
    </w:p>
    <w:p w14:paraId="4C0D0EED">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4.1.2 </w:t>
      </w:r>
      <w:r>
        <w:rPr>
          <w:rFonts w:hint="eastAsia" w:ascii="宋体" w:hAnsi="宋体" w:cs="宋体"/>
          <w:color w:val="000000"/>
          <w:kern w:val="0"/>
          <w:lang w:bidi="ar"/>
        </w:rPr>
        <w:t>不得采用夸大、自诩、不切实际的用语，不得采用误导患者的用语，不得采用庸俗或有封建迷信色彩的用语。</w:t>
      </w:r>
    </w:p>
    <w:p w14:paraId="4141E691">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4.1.3 </w:t>
      </w:r>
      <w:r>
        <w:rPr>
          <w:rFonts w:hint="eastAsia" w:ascii="宋体" w:hAnsi="宋体" w:cs="宋体"/>
          <w:color w:val="000000"/>
          <w:kern w:val="0"/>
          <w:lang w:bidi="ar"/>
        </w:rPr>
        <w:t xml:space="preserve">中医诊所名称应名副其实，且与其类别和诊疗科目相适应，不应在名称中擅自增加或更改诊疗科目。 </w:t>
      </w:r>
    </w:p>
    <w:p w14:paraId="191236EA">
      <w:pPr>
        <w:pStyle w:val="105"/>
        <w:spacing w:before="156" w:after="156"/>
        <w:rPr>
          <w:lang w:bidi="ar"/>
        </w:rPr>
      </w:pPr>
      <w:r>
        <w:rPr>
          <w:rFonts w:hint="eastAsia"/>
          <w:lang w:bidi="ar"/>
        </w:rPr>
        <w:t xml:space="preserve">基本要求 </w:t>
      </w:r>
    </w:p>
    <w:p w14:paraId="5CB827D3">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4.2.1 </w:t>
      </w:r>
      <w:r>
        <w:rPr>
          <w:rFonts w:hint="eastAsia" w:ascii="宋体" w:hAnsi="宋体" w:cs="宋体"/>
          <w:color w:val="000000"/>
          <w:kern w:val="0"/>
          <w:lang w:bidi="ar"/>
        </w:rPr>
        <w:t>中医诊所名称组成应由识别名称和通用名称依次组成，即“识别名称+诊所”，识别名称可为地名、单位名称、个人姓名、医学学科名称、医学专业和专科名称、诊疗科目名称和核准机关批准使用的名称。识别名称可合并使用，一般由两部分组成，第一部分体现地域或举办人，内容可包含地名、举办单位名称、举办人姓名、与设置人有关联的其他名词；第二部分体现医院具体性质，内容为中医学专业（学科、专科）名称、诊疗科目名称、诊疗技术名称，或中医专属名词，应符合中医药理论和专科专病命名原则，原则上不得采用西医专属名词。</w:t>
      </w:r>
    </w:p>
    <w:p w14:paraId="2D7AF038">
      <w:pPr>
        <w:widowControl/>
        <w:adjustRightInd/>
        <w:spacing w:line="240" w:lineRule="auto"/>
        <w:jc w:val="left"/>
      </w:pPr>
      <w:r>
        <w:rPr>
          <w:rFonts w:hint="eastAsia" w:ascii="黑体" w:hAnsi="宋体" w:eastAsia="黑体" w:cs="黑体"/>
          <w:color w:val="000000"/>
          <w:kern w:val="0"/>
          <w:lang w:bidi="ar"/>
        </w:rPr>
        <w:t xml:space="preserve">4.2.2 </w:t>
      </w:r>
      <w:r>
        <w:rPr>
          <w:rFonts w:hint="eastAsia" w:ascii="宋体" w:hAnsi="宋体" w:cs="宋体"/>
          <w:color w:val="000000"/>
          <w:kern w:val="0"/>
          <w:lang w:bidi="ar"/>
        </w:rPr>
        <w:t xml:space="preserve">中医诊所应使用一个名称。 </w:t>
      </w:r>
    </w:p>
    <w:p w14:paraId="3A95FCFA">
      <w:pPr>
        <w:pStyle w:val="105"/>
        <w:spacing w:before="156" w:after="156"/>
        <w:rPr>
          <w:lang w:bidi="ar"/>
        </w:rPr>
      </w:pPr>
      <w:r>
        <w:rPr>
          <w:rFonts w:hint="eastAsia"/>
          <w:lang w:bidi="ar"/>
        </w:rPr>
        <w:t xml:space="preserve">不得使用名称 </w:t>
      </w:r>
    </w:p>
    <w:p w14:paraId="7AAD0735">
      <w:pPr>
        <w:widowControl/>
        <w:adjustRightInd/>
        <w:spacing w:line="240" w:lineRule="auto"/>
        <w:jc w:val="left"/>
      </w:pPr>
      <w:r>
        <w:rPr>
          <w:rFonts w:hint="eastAsia" w:ascii="黑体" w:hAnsi="宋体" w:eastAsia="黑体" w:cs="黑体"/>
          <w:color w:val="000000"/>
          <w:kern w:val="0"/>
          <w:lang w:bidi="ar"/>
        </w:rPr>
        <w:t xml:space="preserve">4.3.1 </w:t>
      </w:r>
      <w:r>
        <w:rPr>
          <w:rFonts w:hint="eastAsia" w:ascii="宋体" w:hAnsi="宋体" w:cs="宋体"/>
          <w:color w:val="000000"/>
          <w:kern w:val="0"/>
          <w:lang w:bidi="ar"/>
        </w:rPr>
        <w:t xml:space="preserve">中医诊所不应使用下列名称： </w:t>
      </w:r>
    </w:p>
    <w:p w14:paraId="2F8206BD">
      <w:pPr>
        <w:widowControl/>
        <w:adjustRightInd/>
        <w:spacing w:line="240" w:lineRule="auto"/>
        <w:jc w:val="left"/>
      </w:pPr>
      <w:r>
        <w:rPr>
          <w:rFonts w:hint="eastAsia" w:ascii="宋体" w:hAnsi="宋体" w:cs="宋体"/>
          <w:color w:val="000000"/>
          <w:kern w:val="0"/>
          <w:lang w:bidi="ar"/>
        </w:rPr>
        <w:t xml:space="preserve">a) 有损于国家、社会或者公共利益的名称； </w:t>
      </w:r>
    </w:p>
    <w:p w14:paraId="7816C47B">
      <w:pPr>
        <w:widowControl/>
        <w:adjustRightInd/>
        <w:spacing w:line="240" w:lineRule="auto"/>
        <w:jc w:val="left"/>
      </w:pPr>
      <w:r>
        <w:rPr>
          <w:rFonts w:hint="eastAsia" w:ascii="宋体" w:hAnsi="宋体" w:cs="宋体"/>
          <w:color w:val="000000"/>
          <w:kern w:val="0"/>
          <w:lang w:bidi="ar"/>
        </w:rPr>
        <w:t xml:space="preserve">b) 侵犯他人利益的名称； </w:t>
      </w:r>
    </w:p>
    <w:p w14:paraId="39499759">
      <w:pPr>
        <w:widowControl/>
        <w:adjustRightInd/>
        <w:spacing w:line="240" w:lineRule="auto"/>
        <w:jc w:val="left"/>
      </w:pPr>
      <w:r>
        <w:rPr>
          <w:rFonts w:hint="eastAsia" w:ascii="宋体" w:hAnsi="宋体" w:cs="宋体"/>
          <w:color w:val="000000"/>
          <w:kern w:val="0"/>
          <w:lang w:bidi="ar"/>
        </w:rPr>
        <w:t xml:space="preserve">c) 以外文字母、汉语拼音以及音译文字组成的名称； </w:t>
      </w:r>
    </w:p>
    <w:p w14:paraId="15F6574D">
      <w:pPr>
        <w:widowControl/>
        <w:adjustRightInd/>
        <w:spacing w:line="240" w:lineRule="auto"/>
        <w:jc w:val="left"/>
      </w:pPr>
      <w:r>
        <w:rPr>
          <w:rFonts w:hint="eastAsia" w:ascii="宋体" w:hAnsi="宋体" w:cs="宋体"/>
          <w:color w:val="000000"/>
          <w:kern w:val="0"/>
          <w:lang w:bidi="ar"/>
        </w:rPr>
        <w:t xml:space="preserve">d) 以医疗仪器、药品、医用产品命名的名称； </w:t>
      </w:r>
    </w:p>
    <w:p w14:paraId="52BCBB8A">
      <w:pPr>
        <w:widowControl/>
        <w:adjustRightInd/>
        <w:spacing w:line="240" w:lineRule="auto"/>
        <w:jc w:val="left"/>
      </w:pPr>
      <w:r>
        <w:rPr>
          <w:rFonts w:hint="eastAsia" w:ascii="宋体" w:hAnsi="宋体" w:cs="宋体"/>
          <w:color w:val="000000"/>
          <w:kern w:val="0"/>
          <w:lang w:bidi="ar"/>
        </w:rPr>
        <w:t xml:space="preserve">e) 含有“疑难病”、“专治”、“专家”、“名医”“祖传”或者同类含义文字的名称以及其他宣传或者暗示诊疗效果的名称； </w:t>
      </w:r>
    </w:p>
    <w:p w14:paraId="0DC3CE33">
      <w:pPr>
        <w:widowControl/>
        <w:adjustRightInd/>
        <w:spacing w:line="240" w:lineRule="auto"/>
        <w:jc w:val="left"/>
      </w:pPr>
      <w:r>
        <w:rPr>
          <w:rFonts w:hint="eastAsia" w:ascii="宋体" w:hAnsi="宋体" w:cs="宋体"/>
          <w:color w:val="000000"/>
          <w:kern w:val="0"/>
          <w:lang w:bidi="ar"/>
        </w:rPr>
        <w:t xml:space="preserve">f) 超出登记的诊疗科目范围的名称； </w:t>
      </w:r>
    </w:p>
    <w:p w14:paraId="2708693D">
      <w:pPr>
        <w:widowControl/>
        <w:adjustRightInd/>
        <w:spacing w:line="240" w:lineRule="auto"/>
        <w:jc w:val="left"/>
      </w:pPr>
      <w:r>
        <w:rPr>
          <w:rFonts w:hint="eastAsia" w:ascii="宋体" w:hAnsi="宋体" w:cs="宋体"/>
          <w:color w:val="000000"/>
          <w:kern w:val="0"/>
          <w:lang w:bidi="ar"/>
        </w:rPr>
        <w:t xml:space="preserve">g）以谐音、形容词等形式模仿或者暗示其他医疗机构名称； </w:t>
      </w:r>
    </w:p>
    <w:p w14:paraId="4488147F">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 xml:space="preserve">h) 含有协和、同仁、华山、湘雅、齐鲁、华西等知名医院相关字词的，且无相关授权的； </w:t>
      </w:r>
    </w:p>
    <w:p w14:paraId="4D2478B4">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i) 以具体疾病名称作为识别名称，且未取得省卫生行政健康部门核准；</w:t>
      </w:r>
    </w:p>
    <w:p w14:paraId="7600AA41">
      <w:pPr>
        <w:widowControl/>
        <w:adjustRightInd/>
        <w:spacing w:line="240" w:lineRule="auto"/>
        <w:jc w:val="left"/>
      </w:pPr>
      <w:r>
        <w:rPr>
          <w:rFonts w:hint="eastAsia" w:ascii="宋体" w:hAnsi="宋体" w:cs="宋体"/>
          <w:color w:val="000000"/>
          <w:kern w:val="0"/>
          <w:lang w:bidi="ar"/>
        </w:rPr>
        <w:t xml:space="preserve">j) 省级以上卫生健康行政部门规定不得使用的名称。 </w:t>
      </w:r>
    </w:p>
    <w:p w14:paraId="0C579B6E">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4.3.2 </w:t>
      </w:r>
      <w:r>
        <w:rPr>
          <w:rFonts w:hint="eastAsia" w:ascii="宋体" w:hAnsi="宋体" w:cs="宋体"/>
          <w:color w:val="000000"/>
          <w:kern w:val="0"/>
          <w:lang w:bidi="ar"/>
        </w:rPr>
        <w:t>中医诊所的印章、牌匾以及医疗文件中使用的名称应与中医诊所名称相同。</w:t>
      </w:r>
    </w:p>
    <w:p w14:paraId="11B9C544">
      <w:pPr>
        <w:pStyle w:val="104"/>
        <w:spacing w:before="312" w:after="312"/>
      </w:pPr>
      <w:bookmarkStart w:id="42" w:name="诊疗科目及范围"/>
      <w:bookmarkStart w:id="43" w:name="_5_诊疗科目及范围"/>
      <w:r>
        <w:t>诊疗</w:t>
      </w:r>
      <w:r>
        <w:rPr>
          <w:rFonts w:hint="eastAsia"/>
        </w:rPr>
        <w:t>科目及</w:t>
      </w:r>
      <w:r>
        <w:t>范围</w:t>
      </w:r>
      <w:bookmarkEnd w:id="42"/>
      <w:r>
        <w:t xml:space="preserve"> </w:t>
      </w:r>
      <w:bookmarkEnd w:id="43"/>
    </w:p>
    <w:p w14:paraId="1C33780E">
      <w:pPr>
        <w:widowControl/>
        <w:shd w:val="clear" w:color="auto" w:fill="FFFFFF"/>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5.1 </w:t>
      </w:r>
      <w:r>
        <w:rPr>
          <w:rFonts w:hint="eastAsia" w:ascii="宋体" w:hAnsi="宋体" w:cs="宋体"/>
          <w:color w:val="000000"/>
          <w:kern w:val="0"/>
          <w:lang w:bidi="ar"/>
        </w:rPr>
        <w:t>诊疗科目</w:t>
      </w:r>
      <w:r>
        <w:rPr>
          <w:rFonts w:ascii="宋体" w:hAnsi="宋体" w:cs="宋体"/>
          <w:color w:val="000000"/>
          <w:kern w:val="0"/>
          <w:lang w:bidi="ar"/>
        </w:rPr>
        <w:t>限于中医科、民族医学科</w:t>
      </w:r>
      <w:r>
        <w:rPr>
          <w:rFonts w:hint="eastAsia" w:ascii="宋体" w:hAnsi="宋体" w:cs="宋体"/>
          <w:color w:val="000000"/>
          <w:kern w:val="0"/>
          <w:lang w:bidi="ar"/>
        </w:rPr>
        <w:t>，宜注册到二级科目</w:t>
      </w:r>
      <w:r>
        <w:rPr>
          <w:rFonts w:ascii="宋体" w:hAnsi="宋体" w:cs="宋体"/>
          <w:color w:val="000000"/>
          <w:kern w:val="0"/>
          <w:lang w:bidi="ar"/>
        </w:rPr>
        <w:t>。配备中医</w:t>
      </w:r>
      <w:r>
        <w:rPr>
          <w:rFonts w:hint="eastAsia" w:ascii="宋体" w:hAnsi="宋体" w:cs="宋体"/>
          <w:color w:val="000000"/>
          <w:kern w:val="0"/>
          <w:lang w:bidi="ar"/>
        </w:rPr>
        <w:t>（</w:t>
      </w:r>
      <w:r>
        <w:rPr>
          <w:rFonts w:ascii="宋体" w:hAnsi="宋体" w:cs="宋体"/>
          <w:color w:val="000000"/>
          <w:kern w:val="0"/>
          <w:lang w:bidi="ar"/>
        </w:rPr>
        <w:t>专长</w:t>
      </w:r>
      <w:r>
        <w:rPr>
          <w:rFonts w:hint="eastAsia" w:ascii="宋体" w:hAnsi="宋体" w:cs="宋体"/>
          <w:color w:val="000000"/>
          <w:kern w:val="0"/>
          <w:lang w:bidi="ar"/>
        </w:rPr>
        <w:t>）</w:t>
      </w:r>
      <w:r>
        <w:rPr>
          <w:rFonts w:ascii="宋体" w:hAnsi="宋体" w:cs="宋体"/>
          <w:color w:val="000000"/>
          <w:kern w:val="0"/>
          <w:lang w:bidi="ar"/>
        </w:rPr>
        <w:t>医师的，应在诊疗科目下明确中医</w:t>
      </w:r>
      <w:r>
        <w:rPr>
          <w:rFonts w:hint="eastAsia" w:ascii="宋体" w:hAnsi="宋体" w:cs="宋体"/>
          <w:color w:val="000000"/>
          <w:kern w:val="0"/>
          <w:lang w:bidi="ar"/>
        </w:rPr>
        <w:t>（</w:t>
      </w:r>
      <w:r>
        <w:rPr>
          <w:rFonts w:ascii="宋体" w:hAnsi="宋体" w:cs="宋体"/>
          <w:color w:val="000000"/>
          <w:kern w:val="0"/>
          <w:lang w:bidi="ar"/>
        </w:rPr>
        <w:t>专长</w:t>
      </w:r>
      <w:r>
        <w:rPr>
          <w:rFonts w:hint="eastAsia" w:ascii="宋体" w:hAnsi="宋体" w:cs="宋体"/>
          <w:color w:val="000000"/>
          <w:kern w:val="0"/>
          <w:lang w:bidi="ar"/>
        </w:rPr>
        <w:t>）</w:t>
      </w:r>
      <w:r>
        <w:rPr>
          <w:rFonts w:ascii="宋体" w:hAnsi="宋体" w:cs="宋体"/>
          <w:color w:val="000000"/>
          <w:kern w:val="0"/>
          <w:lang w:bidi="ar"/>
        </w:rPr>
        <w:t>医师的执业范围。</w:t>
      </w:r>
    </w:p>
    <w:p w14:paraId="317FAC64">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5.2</w:t>
      </w:r>
      <w:r>
        <w:rPr>
          <w:rFonts w:hint="eastAsia" w:ascii="宋体" w:hAnsi="宋体" w:cs="宋体"/>
          <w:color w:val="000000"/>
          <w:kern w:val="0"/>
          <w:lang w:bidi="ar"/>
        </w:rPr>
        <w:t xml:space="preserve"> 中医诊所应在中医药理论指导下，运用中药和针灸、拔罐、推拿等非药物疗法开展诊疗服务。 </w:t>
      </w:r>
    </w:p>
    <w:p w14:paraId="2643E45D">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5.3 </w:t>
      </w:r>
      <w:r>
        <w:rPr>
          <w:rFonts w:hint="eastAsia" w:ascii="宋体" w:hAnsi="宋体" w:cs="宋体"/>
          <w:color w:val="000000"/>
          <w:kern w:val="0"/>
          <w:lang w:bidi="ar"/>
        </w:rPr>
        <w:t xml:space="preserve">中医诊所可开展中药调剂、汤剂煎煮、中药传统基质调配、鲜药榨汁、中药传统工艺加工等中药药事服务。 </w:t>
      </w:r>
    </w:p>
    <w:p w14:paraId="28796D37">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5.4</w:t>
      </w:r>
      <w:r>
        <w:rPr>
          <w:rFonts w:hint="eastAsia" w:ascii="宋体" w:hAnsi="宋体" w:cs="宋体"/>
          <w:color w:val="000000"/>
          <w:kern w:val="0"/>
          <w:lang w:bidi="ar"/>
        </w:rPr>
        <w:t xml:space="preserve"> 中医药治疗率应为 100%。 </w:t>
      </w:r>
    </w:p>
    <w:p w14:paraId="477D7769">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5.5</w:t>
      </w:r>
      <w:r>
        <w:rPr>
          <w:rFonts w:hint="eastAsia" w:ascii="宋体" w:hAnsi="宋体" w:cs="宋体"/>
          <w:color w:val="000000"/>
          <w:kern w:val="0"/>
          <w:lang w:bidi="ar"/>
        </w:rPr>
        <w:t xml:space="preserve"> 中医诊所在</w:t>
      </w:r>
      <w:r>
        <w:rPr>
          <w:rFonts w:ascii="宋体" w:hAnsi="宋体" w:cs="宋体"/>
          <w:color w:val="000000"/>
          <w:kern w:val="0"/>
          <w:lang w:bidi="ar"/>
        </w:rPr>
        <w:t>配备必要的急救设备</w:t>
      </w:r>
      <w:r>
        <w:rPr>
          <w:rFonts w:hint="eastAsia" w:ascii="宋体" w:hAnsi="宋体" w:cs="宋体"/>
          <w:color w:val="000000"/>
          <w:kern w:val="0"/>
          <w:lang w:bidi="ar"/>
        </w:rPr>
        <w:t>条件下，可根据国家规定开展中医微创类技术、中药注射剂、穴位注射等存在一定医疗安全风险的技术。</w:t>
      </w:r>
    </w:p>
    <w:p w14:paraId="724F457D">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5.6 </w:t>
      </w:r>
      <w:r>
        <w:rPr>
          <w:rFonts w:ascii="宋体" w:hAnsi="宋体" w:cs="宋体"/>
          <w:color w:val="000000"/>
          <w:kern w:val="0"/>
          <w:lang w:bidi="ar"/>
        </w:rPr>
        <w:t>中医诊所应当将《中医诊所备案证》、卫生技术人员信息在诊所的明显位置公示。中医</w:t>
      </w:r>
      <w:r>
        <w:rPr>
          <w:rFonts w:hint="eastAsia" w:ascii="宋体" w:hAnsi="宋体" w:cs="宋体"/>
          <w:color w:val="000000"/>
          <w:kern w:val="0"/>
          <w:lang w:bidi="ar"/>
        </w:rPr>
        <w:t>（</w:t>
      </w:r>
      <w:r>
        <w:rPr>
          <w:rFonts w:ascii="宋体" w:hAnsi="宋体" w:cs="宋体"/>
          <w:color w:val="000000"/>
          <w:kern w:val="0"/>
          <w:lang w:bidi="ar"/>
        </w:rPr>
        <w:t>专长</w:t>
      </w:r>
      <w:r>
        <w:rPr>
          <w:rFonts w:hint="eastAsia" w:ascii="宋体" w:hAnsi="宋体" w:cs="宋体"/>
          <w:color w:val="000000"/>
          <w:kern w:val="0"/>
          <w:lang w:bidi="ar"/>
        </w:rPr>
        <w:t>）</w:t>
      </w:r>
      <w:r>
        <w:rPr>
          <w:rFonts w:ascii="宋体" w:hAnsi="宋体" w:cs="宋体"/>
          <w:color w:val="000000"/>
          <w:kern w:val="0"/>
          <w:lang w:bidi="ar"/>
        </w:rPr>
        <w:t>医师</w:t>
      </w:r>
      <w:r>
        <w:rPr>
          <w:rFonts w:hint="eastAsia" w:ascii="宋体" w:hAnsi="宋体" w:cs="宋体"/>
          <w:color w:val="000000"/>
          <w:kern w:val="0"/>
          <w:lang w:bidi="ar"/>
        </w:rPr>
        <w:t>开展中医医疗活动时，应在诊疗场所明显位置公示执业范围以及可以采用的治疗方法。</w:t>
      </w:r>
    </w:p>
    <w:p w14:paraId="53280CDE">
      <w:pPr>
        <w:pStyle w:val="104"/>
        <w:spacing w:before="312" w:after="312"/>
      </w:pPr>
      <w:bookmarkStart w:id="44" w:name="_6_人员资质"/>
      <w:bookmarkStart w:id="45" w:name="人员资质"/>
      <w:r>
        <w:rPr>
          <w:rFonts w:hint="eastAsia"/>
        </w:rPr>
        <w:t xml:space="preserve">人员资质 </w:t>
      </w:r>
    </w:p>
    <w:bookmarkEnd w:id="44"/>
    <w:bookmarkEnd w:id="45"/>
    <w:p w14:paraId="18661B53">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6.1 </w:t>
      </w:r>
      <w:r>
        <w:rPr>
          <w:rFonts w:hint="eastAsia" w:ascii="宋体" w:hAnsi="宋体" w:cs="宋体"/>
          <w:color w:val="000000"/>
          <w:kern w:val="0"/>
          <w:lang w:bidi="ar"/>
        </w:rPr>
        <w:t xml:space="preserve">中医诊所从业人员应身体健康，能够胜任相关工作。定期参加中医药技术、感染控制、传染病防治及卫生法律法规等知识的培训及继续教育。 </w:t>
      </w:r>
    </w:p>
    <w:p w14:paraId="7C81626F">
      <w:pPr>
        <w:widowControl/>
        <w:adjustRightInd/>
        <w:spacing w:line="240" w:lineRule="auto"/>
        <w:jc w:val="left"/>
      </w:pPr>
      <w:r>
        <w:rPr>
          <w:rFonts w:hint="eastAsia" w:ascii="黑体" w:hAnsi="宋体" w:eastAsia="黑体" w:cs="黑体"/>
          <w:color w:val="000000"/>
          <w:kern w:val="0"/>
          <w:lang w:bidi="ar"/>
        </w:rPr>
        <w:t xml:space="preserve">6.2 </w:t>
      </w:r>
      <w:r>
        <w:rPr>
          <w:rFonts w:hint="eastAsia" w:ascii="宋体" w:hAnsi="宋体" w:cs="宋体"/>
          <w:color w:val="000000"/>
          <w:kern w:val="0"/>
          <w:lang w:bidi="ar"/>
        </w:rPr>
        <w:t xml:space="preserve">有下列情形之一的人员或单位，不准许申请设置备案中医诊所： </w:t>
      </w:r>
    </w:p>
    <w:p w14:paraId="52E53FEA">
      <w:pPr>
        <w:widowControl/>
        <w:adjustRightInd/>
        <w:spacing w:line="240" w:lineRule="auto"/>
        <w:jc w:val="left"/>
      </w:pPr>
      <w:r>
        <w:rPr>
          <w:rFonts w:hint="eastAsia" w:ascii="宋体" w:hAnsi="宋体" w:cs="宋体"/>
          <w:color w:val="000000"/>
          <w:kern w:val="0"/>
          <w:lang w:bidi="ar"/>
        </w:rPr>
        <w:t xml:space="preserve">a) 不能独立承担民事责任的单位； </w:t>
      </w:r>
    </w:p>
    <w:p w14:paraId="28AD93C8">
      <w:pPr>
        <w:widowControl/>
        <w:adjustRightInd/>
        <w:spacing w:line="240" w:lineRule="auto"/>
        <w:jc w:val="left"/>
      </w:pPr>
      <w:r>
        <w:rPr>
          <w:rFonts w:hint="eastAsia" w:ascii="宋体" w:hAnsi="宋体" w:cs="宋体"/>
          <w:color w:val="000000"/>
          <w:kern w:val="0"/>
          <w:lang w:bidi="ar"/>
        </w:rPr>
        <w:t xml:space="preserve">b) 正在服刑或者不具有完全民事行为能力的个人； </w:t>
      </w:r>
    </w:p>
    <w:p w14:paraId="43A7FC13">
      <w:pPr>
        <w:widowControl/>
        <w:adjustRightInd/>
        <w:spacing w:line="240" w:lineRule="auto"/>
        <w:jc w:val="left"/>
      </w:pPr>
      <w:r>
        <w:rPr>
          <w:rFonts w:hint="eastAsia" w:ascii="宋体" w:hAnsi="宋体" w:cs="宋体"/>
          <w:color w:val="000000"/>
          <w:kern w:val="0"/>
          <w:lang w:bidi="ar"/>
        </w:rPr>
        <w:t xml:space="preserve">c) 发生二级及以上医疗事故未满五年的主要责任人； </w:t>
      </w:r>
    </w:p>
    <w:p w14:paraId="3755116F">
      <w:pPr>
        <w:widowControl/>
        <w:adjustRightInd/>
        <w:spacing w:line="240" w:lineRule="auto"/>
        <w:jc w:val="left"/>
      </w:pPr>
      <w:r>
        <w:rPr>
          <w:rFonts w:hint="eastAsia" w:ascii="宋体" w:hAnsi="宋体" w:cs="宋体"/>
          <w:color w:val="000000"/>
          <w:kern w:val="0"/>
          <w:lang w:bidi="ar"/>
        </w:rPr>
        <w:t xml:space="preserve">d) 因违反有关法律、法规和规章，已被吊销执业证书的医务人员； </w:t>
      </w:r>
    </w:p>
    <w:p w14:paraId="0EB99ED7">
      <w:pPr>
        <w:widowControl/>
        <w:adjustRightInd/>
        <w:spacing w:line="240" w:lineRule="auto"/>
        <w:jc w:val="left"/>
      </w:pPr>
      <w:r>
        <w:rPr>
          <w:rFonts w:hint="eastAsia" w:ascii="宋体" w:hAnsi="宋体" w:cs="宋体"/>
          <w:color w:val="000000"/>
          <w:kern w:val="0"/>
          <w:lang w:bidi="ar"/>
        </w:rPr>
        <w:t xml:space="preserve">e) 被吊销《医疗机构执业许可证》的医疗机构法定代表人或者主要负责人； </w:t>
      </w:r>
    </w:p>
    <w:p w14:paraId="1FC54DBD">
      <w:pPr>
        <w:widowControl/>
        <w:adjustRightInd/>
        <w:spacing w:line="240" w:lineRule="auto"/>
        <w:jc w:val="left"/>
      </w:pPr>
      <w:r>
        <w:rPr>
          <w:rFonts w:hint="eastAsia" w:ascii="宋体" w:hAnsi="宋体" w:cs="宋体"/>
          <w:color w:val="000000"/>
          <w:kern w:val="0"/>
          <w:lang w:bidi="ar"/>
        </w:rPr>
        <w:t xml:space="preserve">f) 省级卫生健康主管部门规定的其他情形。 </w:t>
      </w:r>
    </w:p>
    <w:p w14:paraId="47F8FB77">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 xml:space="preserve">有 b）、c）、d）、e）项所列情形之一者，不准许充任中医诊所的法定代表人或者主要负责人。 </w:t>
      </w:r>
    </w:p>
    <w:p w14:paraId="517349DD">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6.3 </w:t>
      </w:r>
      <w:r>
        <w:rPr>
          <w:rFonts w:hint="eastAsia" w:ascii="宋体" w:hAnsi="宋体" w:cs="宋体"/>
          <w:color w:val="000000"/>
          <w:kern w:val="0"/>
          <w:lang w:bidi="ar"/>
        </w:rPr>
        <w:t>中医诊所应</w:t>
      </w:r>
      <w:r>
        <w:rPr>
          <w:rFonts w:ascii="宋体" w:hAnsi="宋体" w:cs="宋体"/>
          <w:color w:val="000000"/>
          <w:kern w:val="0"/>
          <w:lang w:bidi="ar"/>
        </w:rPr>
        <w:t>至少具有1名符合下列条件之一的执业医师</w:t>
      </w:r>
      <w:r>
        <w:rPr>
          <w:rFonts w:hint="eastAsia" w:ascii="宋体" w:hAnsi="宋体" w:cs="宋体"/>
          <w:color w:val="000000"/>
          <w:kern w:val="0"/>
          <w:lang w:bidi="ar"/>
        </w:rPr>
        <w:t>：</w:t>
      </w:r>
    </w:p>
    <w:p w14:paraId="6CA605A2">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a) 具有中医类别《医师资格证书》并经注册后在医疗、预防、保健机构中执业满5年；</w:t>
      </w:r>
    </w:p>
    <w:p w14:paraId="5199BA75">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 xml:space="preserve">b) 具有《中医（专长）医师资格证书》，经注册依法执业。 </w:t>
      </w:r>
    </w:p>
    <w:p w14:paraId="58EABBCD">
      <w:pPr>
        <w:widowControl/>
        <w:adjustRightInd/>
        <w:spacing w:line="240" w:lineRule="auto"/>
        <w:jc w:val="left"/>
      </w:pPr>
      <w:r>
        <w:rPr>
          <w:rFonts w:hint="eastAsia" w:ascii="黑体" w:hAnsi="宋体" w:eastAsia="黑体" w:cs="黑体"/>
          <w:color w:val="000000"/>
          <w:kern w:val="0"/>
          <w:lang w:bidi="ar"/>
        </w:rPr>
        <w:t xml:space="preserve">6.4 </w:t>
      </w:r>
      <w:r>
        <w:rPr>
          <w:rFonts w:hint="eastAsia" w:ascii="宋体" w:hAnsi="宋体" w:cs="宋体"/>
          <w:color w:val="000000"/>
          <w:kern w:val="0"/>
          <w:lang w:bidi="ar"/>
        </w:rPr>
        <w:t>开展中药饮片调剂活动的，应至少有1名中药</w:t>
      </w:r>
      <w:r>
        <w:rPr>
          <w:rFonts w:ascii="宋体" w:hAnsi="宋体" w:cs="宋体"/>
          <w:color w:val="000000"/>
          <w:kern w:val="0"/>
          <w:lang w:bidi="ar"/>
        </w:rPr>
        <w:t>专业</w:t>
      </w:r>
      <w:r>
        <w:rPr>
          <w:rFonts w:hint="eastAsia" w:ascii="宋体" w:hAnsi="宋体" w:cs="宋体"/>
          <w:color w:val="000000"/>
          <w:kern w:val="0"/>
          <w:lang w:bidi="ar"/>
        </w:rPr>
        <w:t xml:space="preserve">技术人员： </w:t>
      </w:r>
    </w:p>
    <w:p w14:paraId="19934461">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a) 按照原卫生部《卫生技术人员职务试行条例》规定，取得中药学专业技术职务任职资格人员，包括主任中药师、副主任中药师、主管中药师、中药师、中药士；</w:t>
      </w:r>
    </w:p>
    <w:p w14:paraId="0432118C">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 xml:space="preserve">b) 通过国家执业中药师考试取得执业中药师资格，并注册在该中医诊所。  </w:t>
      </w:r>
    </w:p>
    <w:p w14:paraId="3D07B055">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6.5 </w:t>
      </w:r>
      <w:r>
        <w:rPr>
          <w:rFonts w:hint="eastAsia" w:ascii="宋体" w:hAnsi="宋体" w:cs="宋体"/>
          <w:color w:val="000000"/>
          <w:kern w:val="0"/>
          <w:lang w:bidi="ar"/>
        </w:rPr>
        <w:t>医师应参加国家组织的定期考核，考核周期为三年。考核围绕业务水平、工作业绩、职业道德，医师须考核合格方可执业。</w:t>
      </w:r>
    </w:p>
    <w:p w14:paraId="4F23D809">
      <w:pPr>
        <w:pStyle w:val="104"/>
        <w:spacing w:before="312" w:after="312"/>
      </w:pPr>
      <w:bookmarkStart w:id="46" w:name="设备"/>
      <w:bookmarkStart w:id="47" w:name="_7_设备"/>
      <w:r>
        <w:rPr>
          <w:rFonts w:hint="eastAsia"/>
        </w:rPr>
        <w:t>设备</w:t>
      </w:r>
      <w:bookmarkEnd w:id="46"/>
      <w:r>
        <w:rPr>
          <w:rFonts w:hint="eastAsia"/>
        </w:rPr>
        <w:t xml:space="preserve"> </w:t>
      </w:r>
      <w:bookmarkEnd w:id="47"/>
    </w:p>
    <w:p w14:paraId="467E296F">
      <w:pPr>
        <w:pStyle w:val="105"/>
        <w:spacing w:before="156" w:after="156"/>
        <w:rPr>
          <w:lang w:bidi="ar"/>
        </w:rPr>
      </w:pPr>
      <w:r>
        <w:rPr>
          <w:rFonts w:hint="eastAsia"/>
          <w:lang w:bidi="ar"/>
        </w:rPr>
        <w:t>基本设备</w:t>
      </w:r>
    </w:p>
    <w:p w14:paraId="21375A9A">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000000"/>
          <w:kern w:val="0"/>
          <w:lang w:bidi="ar"/>
        </w:rPr>
      </w:pPr>
      <w:r>
        <w:rPr>
          <w:rFonts w:hint="eastAsia" w:ascii="宋体" w:hAnsi="宋体" w:cs="宋体"/>
          <w:color w:val="000000"/>
          <w:kern w:val="0"/>
          <w:lang w:bidi="ar"/>
        </w:rPr>
        <w:t>中医诊所应配置的基本设备包括但不限于：诊桌、诊椅、脉枕、</w:t>
      </w:r>
      <w:r>
        <w:rPr>
          <w:rFonts w:ascii="宋体" w:hAnsi="宋体" w:cs="宋体"/>
          <w:color w:val="000000"/>
          <w:kern w:val="0"/>
          <w:lang w:bidi="ar"/>
        </w:rPr>
        <w:t>体温计、</w:t>
      </w:r>
      <w:r>
        <w:rPr>
          <w:rFonts w:hint="eastAsia" w:ascii="宋体" w:hAnsi="宋体" w:cs="宋体"/>
          <w:color w:val="000000"/>
          <w:kern w:val="0"/>
          <w:lang w:bidi="ar"/>
        </w:rPr>
        <w:t xml:space="preserve">紫外线消毒设备、污物桶、计算机等。 </w:t>
      </w:r>
    </w:p>
    <w:p w14:paraId="0ECA59AD">
      <w:pPr>
        <w:pStyle w:val="105"/>
        <w:spacing w:before="156" w:after="156"/>
        <w:rPr>
          <w:lang w:bidi="ar"/>
        </w:rPr>
      </w:pPr>
      <w:r>
        <w:rPr>
          <w:rFonts w:hint="eastAsia"/>
          <w:lang w:bidi="ar"/>
        </w:rPr>
        <w:t>诊疗设备</w:t>
      </w:r>
    </w:p>
    <w:p w14:paraId="0E66E72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000000"/>
          <w:kern w:val="0"/>
          <w:lang w:bidi="ar"/>
        </w:rPr>
      </w:pPr>
      <w:r>
        <w:rPr>
          <w:rFonts w:hint="eastAsia" w:ascii="宋体" w:hAnsi="宋体" w:cs="宋体"/>
          <w:color w:val="000000"/>
          <w:kern w:val="0"/>
          <w:lang w:bidi="ar"/>
        </w:rPr>
        <w:t xml:space="preserve">中医诊所应配置与开展诊疗范围相适应的诊疗设备，如针具、火罐、艾灸盒、刮痧板、电针仪、中药熏蒸设备、体质测试仪、中药雾化吸入等。 </w:t>
      </w:r>
    </w:p>
    <w:p w14:paraId="5BB9A2E6">
      <w:pPr>
        <w:pStyle w:val="105"/>
        <w:spacing w:before="156" w:after="156"/>
        <w:rPr>
          <w:lang w:bidi="ar"/>
        </w:rPr>
      </w:pPr>
      <w:r>
        <w:rPr>
          <w:rFonts w:hint="eastAsia"/>
          <w:lang w:bidi="ar"/>
        </w:rPr>
        <w:t>急救设备</w:t>
      </w:r>
    </w:p>
    <w:p w14:paraId="46CE9F98">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000000"/>
          <w:kern w:val="0"/>
          <w:lang w:bidi="ar"/>
        </w:rPr>
      </w:pPr>
      <w:r>
        <w:rPr>
          <w:rFonts w:hint="eastAsia" w:ascii="宋体" w:hAnsi="宋体" w:cs="宋体"/>
          <w:color w:val="000000"/>
          <w:kern w:val="0"/>
          <w:lang w:bidi="ar"/>
        </w:rPr>
        <w:t>中医诊所开展中医微创类技术、穴位注射及使用中药注射剂等存在一定医疗安全风险的技术时，应配备必要的急救设备及急救药品。如氧气瓶（袋）、止血带、止血钳、消毒用品、开口器、牙垫、口腔通气道、人工呼吸器等设备，抗休克药、强心剂、抗心律失常药、中枢神经兴奋药、抗过敏药、激素类药、镇痛药、止血药等急救药品。</w:t>
      </w:r>
    </w:p>
    <w:p w14:paraId="44419000">
      <w:pPr>
        <w:pStyle w:val="104"/>
        <w:spacing w:before="312" w:after="312"/>
      </w:pPr>
      <w:bookmarkStart w:id="48" w:name="_8_房屋"/>
      <w:bookmarkStart w:id="49" w:name="房屋"/>
      <w:r>
        <w:rPr>
          <w:rFonts w:hint="eastAsia"/>
        </w:rPr>
        <w:t xml:space="preserve">房屋 </w:t>
      </w:r>
      <w:bookmarkEnd w:id="48"/>
      <w:bookmarkEnd w:id="49"/>
    </w:p>
    <w:p w14:paraId="5D8FA92E">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8.1 </w:t>
      </w:r>
      <w:r>
        <w:rPr>
          <w:rFonts w:hint="eastAsia" w:ascii="宋体" w:hAnsi="宋体" w:cs="宋体"/>
          <w:color w:val="000000"/>
          <w:kern w:val="0"/>
          <w:lang w:bidi="ar"/>
        </w:rPr>
        <w:t xml:space="preserve">房屋应相对独立，诊所的使用面积和建筑布局应满足诊疗科目医疗需求。 </w:t>
      </w:r>
    </w:p>
    <w:p w14:paraId="11000471">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8.2 </w:t>
      </w:r>
      <w:r>
        <w:rPr>
          <w:rFonts w:hint="eastAsia" w:ascii="宋体" w:hAnsi="宋体" w:cs="宋体"/>
          <w:color w:val="000000"/>
          <w:kern w:val="0"/>
          <w:lang w:bidi="ar"/>
        </w:rPr>
        <w:t xml:space="preserve">诊所建筑面积不宜小于 40 ㎡，每增加一个治疗床位，建筑面积宜至少增加 6 ㎡；每增加一个功能分区，建筑面积宜至少增加 10 ㎡。 </w:t>
      </w:r>
    </w:p>
    <w:p w14:paraId="2CEA54F1">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8.3 </w:t>
      </w:r>
      <w:r>
        <w:rPr>
          <w:rFonts w:hint="eastAsia" w:ascii="宋体" w:hAnsi="宋体" w:cs="宋体"/>
          <w:color w:val="000000"/>
          <w:kern w:val="0"/>
          <w:lang w:bidi="ar"/>
        </w:rPr>
        <w:t>诊疗区域应布局合理，符合卫生学布局与流程。 布局流程应遵循洁污分开的原则，诊疗区、污物处理区、生活区等区域相对独立，标识清楚，通风良好。</w:t>
      </w:r>
    </w:p>
    <w:p w14:paraId="3CF24F17">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8.4 </w:t>
      </w:r>
      <w:r>
        <w:rPr>
          <w:rFonts w:hint="eastAsia" w:ascii="宋体" w:hAnsi="宋体" w:cs="宋体"/>
          <w:color w:val="000000"/>
          <w:kern w:val="0"/>
          <w:lang w:bidi="ar"/>
        </w:rPr>
        <w:t xml:space="preserve">中医诊所宜设置候诊区、就诊区。 </w:t>
      </w:r>
    </w:p>
    <w:p w14:paraId="50224539">
      <w:pPr>
        <w:widowControl/>
        <w:adjustRightInd/>
        <w:spacing w:line="240" w:lineRule="auto"/>
        <w:jc w:val="left"/>
      </w:pPr>
      <w:r>
        <w:rPr>
          <w:rFonts w:hint="eastAsia" w:ascii="黑体" w:hAnsi="宋体" w:eastAsia="黑体" w:cs="黑体"/>
          <w:color w:val="000000"/>
          <w:kern w:val="0"/>
          <w:lang w:bidi="ar"/>
        </w:rPr>
        <w:t>8.4.1</w:t>
      </w:r>
      <w:r>
        <w:rPr>
          <w:rFonts w:hint="eastAsia" w:ascii="宋体" w:hAnsi="宋体" w:cs="宋体"/>
          <w:color w:val="000000"/>
          <w:kern w:val="0"/>
          <w:lang w:bidi="ar"/>
        </w:rPr>
        <w:t xml:space="preserve">候诊用房设置宜符合下列要求： </w:t>
      </w:r>
    </w:p>
    <w:p w14:paraId="007626FD">
      <w:pPr>
        <w:widowControl/>
        <w:adjustRightInd/>
        <w:spacing w:line="240" w:lineRule="auto"/>
        <w:jc w:val="left"/>
      </w:pPr>
      <w:r>
        <w:rPr>
          <w:rFonts w:hint="eastAsia" w:ascii="宋体" w:hAnsi="宋体" w:cs="宋体"/>
          <w:color w:val="000000"/>
          <w:kern w:val="0"/>
          <w:lang w:bidi="ar"/>
        </w:rPr>
        <w:t>a) 利用</w:t>
      </w:r>
      <w:bookmarkStart w:id="50" w:name="OLE_LINK2"/>
      <w:r>
        <w:rPr>
          <w:rFonts w:hint="eastAsia" w:ascii="宋体" w:hAnsi="宋体" w:cs="宋体"/>
          <w:color w:val="000000"/>
          <w:kern w:val="0"/>
          <w:lang w:bidi="ar"/>
        </w:rPr>
        <w:t>走廊</w:t>
      </w:r>
      <w:bookmarkEnd w:id="50"/>
      <w:r>
        <w:rPr>
          <w:rFonts w:hint="eastAsia" w:ascii="宋体" w:hAnsi="宋体" w:cs="宋体"/>
          <w:color w:val="000000"/>
          <w:kern w:val="0"/>
          <w:lang w:bidi="ar"/>
        </w:rPr>
        <w:t xml:space="preserve">候诊时，走廊应有足够的净宽满足候诊需要，配置候诊设施； </w:t>
      </w:r>
    </w:p>
    <w:p w14:paraId="4BFCC483">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 xml:space="preserve">b) 宜采用医患通道分设、电子叫号、预约挂号等方式。 </w:t>
      </w:r>
    </w:p>
    <w:p w14:paraId="519AFAA8">
      <w:pPr>
        <w:widowControl/>
        <w:adjustRightInd/>
        <w:spacing w:line="240" w:lineRule="auto"/>
        <w:jc w:val="left"/>
      </w:pPr>
      <w:r>
        <w:rPr>
          <w:rFonts w:hint="eastAsia" w:ascii="黑体" w:hAnsi="宋体" w:eastAsia="黑体" w:cs="黑体"/>
          <w:color w:val="000000"/>
          <w:kern w:val="0"/>
          <w:lang w:bidi="ar"/>
        </w:rPr>
        <w:t>8.4.2</w:t>
      </w:r>
      <w:r>
        <w:rPr>
          <w:rFonts w:hint="eastAsia" w:ascii="宋体" w:hAnsi="宋体" w:cs="宋体"/>
          <w:color w:val="000000"/>
          <w:kern w:val="0"/>
          <w:lang w:bidi="ar"/>
        </w:rPr>
        <w:t xml:space="preserve">诊查用房设置宜符合下列要求： </w:t>
      </w:r>
    </w:p>
    <w:p w14:paraId="0717DA80">
      <w:pPr>
        <w:widowControl/>
        <w:adjustRightInd/>
        <w:spacing w:line="240" w:lineRule="auto"/>
        <w:jc w:val="left"/>
      </w:pPr>
      <w:r>
        <w:rPr>
          <w:rFonts w:hint="eastAsia" w:ascii="宋体" w:hAnsi="宋体" w:cs="宋体"/>
          <w:color w:val="000000"/>
          <w:kern w:val="0"/>
          <w:lang w:bidi="ar"/>
        </w:rPr>
        <w:t xml:space="preserve">a) 双人诊查室使用面积不宜小于 12 ㎡，床位之间应设置隔帘； </w:t>
      </w:r>
    </w:p>
    <w:p w14:paraId="5465ECE7">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b) 单人诊查室使用面积不宜小于 10 ㎡；</w:t>
      </w:r>
    </w:p>
    <w:p w14:paraId="537E7B32">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c) 诊查室内配有洗手设施和干手用品。</w:t>
      </w:r>
    </w:p>
    <w:p w14:paraId="127BCE3A">
      <w:pPr>
        <w:widowControl/>
        <w:adjustRightInd/>
        <w:spacing w:line="240" w:lineRule="auto"/>
        <w:jc w:val="left"/>
      </w:pPr>
      <w:r>
        <w:rPr>
          <w:rFonts w:hint="eastAsia" w:ascii="黑体" w:hAnsi="宋体" w:eastAsia="黑体" w:cs="黑体"/>
          <w:color w:val="000000"/>
          <w:kern w:val="0"/>
          <w:lang w:bidi="ar"/>
        </w:rPr>
        <w:t xml:space="preserve">8.5 </w:t>
      </w:r>
      <w:r>
        <w:rPr>
          <w:rFonts w:hint="eastAsia" w:ascii="宋体" w:hAnsi="宋体" w:cs="宋体"/>
          <w:color w:val="000000"/>
          <w:kern w:val="0"/>
          <w:lang w:bidi="ar"/>
        </w:rPr>
        <w:t xml:space="preserve">中药房、中药煎药室、治疗室的面积应满足功能需要，并宜根据开展的诊疗范围不同具备下列条件： </w:t>
      </w:r>
    </w:p>
    <w:p w14:paraId="118B2850">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 xml:space="preserve">a) 开展中药饮片和中成药调剂服务的，调剂区域宜相对分开； </w:t>
      </w:r>
    </w:p>
    <w:p w14:paraId="6AC7B756">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b) 开展中药饮片煎煮服务，宜设立独立的煎药室，建筑面积原则上不低于10㎡；</w:t>
      </w:r>
    </w:p>
    <w:p w14:paraId="504C3CE0">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 xml:space="preserve">c) 开展中医非药物疗法的，宜设置独立的治疗室，布局需保障患者隐私，室内设流动水洗手池，洗手液，干手设施（用品），速干手消毒剂。 </w:t>
      </w:r>
    </w:p>
    <w:p w14:paraId="0140DFC8">
      <w:pPr>
        <w:pStyle w:val="104"/>
        <w:spacing w:before="312" w:after="312"/>
      </w:pPr>
      <w:bookmarkStart w:id="51" w:name="诊所周边环境"/>
      <w:bookmarkStart w:id="52" w:name="_9_诊所周边环境"/>
      <w:r>
        <w:rPr>
          <w:rFonts w:hint="eastAsia"/>
        </w:rPr>
        <w:t>诊所周边环境</w:t>
      </w:r>
      <w:bookmarkEnd w:id="51"/>
      <w:r>
        <w:rPr>
          <w:rFonts w:hint="eastAsia"/>
        </w:rPr>
        <w:t xml:space="preserve"> </w:t>
      </w:r>
      <w:bookmarkEnd w:id="52"/>
    </w:p>
    <w:p w14:paraId="633C1173">
      <w:pPr>
        <w:pStyle w:val="105"/>
        <w:spacing w:before="156" w:after="156"/>
      </w:pPr>
      <w:r>
        <w:rPr>
          <w:rFonts w:hint="eastAsia"/>
          <w:lang w:bidi="ar"/>
        </w:rPr>
        <w:t xml:space="preserve">诊所选址原则 </w:t>
      </w:r>
    </w:p>
    <w:p w14:paraId="42F23159">
      <w:pPr>
        <w:widowControl/>
        <w:adjustRightInd/>
        <w:spacing w:line="240" w:lineRule="auto"/>
        <w:jc w:val="left"/>
        <w:rPr>
          <w:rFonts w:ascii="宋体" w:hAnsi="宋体" w:cs="宋体"/>
          <w:color w:val="000000"/>
          <w:kern w:val="0"/>
          <w:lang w:bidi="ar"/>
        </w:rPr>
      </w:pPr>
      <w:r>
        <w:rPr>
          <w:rFonts w:hint="eastAsia" w:ascii="宋体" w:hAnsi="宋体" w:cs="宋体"/>
          <w:color w:val="000000"/>
          <w:kern w:val="0"/>
          <w:lang w:bidi="ar"/>
        </w:rPr>
        <w:t>中医诊所选址应符合本行政区域内的城镇规划、区域卫生规划、环保评估的要求。</w:t>
      </w:r>
    </w:p>
    <w:p w14:paraId="1C5AAB44">
      <w:pPr>
        <w:pStyle w:val="105"/>
        <w:spacing w:before="156" w:after="156"/>
        <w:rPr>
          <w:lang w:bidi="ar"/>
        </w:rPr>
      </w:pPr>
      <w:r>
        <w:rPr>
          <w:rFonts w:hint="eastAsia"/>
          <w:lang w:bidi="ar"/>
        </w:rPr>
        <w:t>诊所选址要求</w:t>
      </w:r>
    </w:p>
    <w:p w14:paraId="20C0937D">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9.2.1 </w:t>
      </w:r>
      <w:r>
        <w:rPr>
          <w:rFonts w:hint="eastAsia" w:ascii="宋体" w:hAnsi="宋体" w:cs="宋体"/>
          <w:color w:val="000000"/>
          <w:kern w:val="0"/>
          <w:lang w:bidi="ar"/>
        </w:rPr>
        <w:t>周边交通便利， 优先选择临近公交站点、地铁口或社区主要出入口，确保患者步行可达性。</w:t>
      </w:r>
    </w:p>
    <w:p w14:paraId="05CADDB0">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9.2.2 </w:t>
      </w:r>
      <w:r>
        <w:rPr>
          <w:rFonts w:hint="eastAsia" w:ascii="宋体" w:hAnsi="宋体" w:cs="宋体"/>
          <w:color w:val="000000"/>
          <w:kern w:val="0"/>
          <w:lang w:bidi="ar"/>
        </w:rPr>
        <w:t>诊所周边500米范围内不得存在垃圾处理站、化工厂、屠宰场、高压变电站等污染源，确保空气、土壤、水质符合要求。</w:t>
      </w:r>
    </w:p>
    <w:p w14:paraId="5F5D12C8">
      <w:pPr>
        <w:widowControl/>
        <w:adjustRightInd/>
        <w:spacing w:line="240" w:lineRule="auto"/>
        <w:jc w:val="left"/>
        <w:rPr>
          <w:rFonts w:ascii="黑体" w:hAnsi="宋体" w:eastAsia="黑体" w:cs="黑体"/>
          <w:color w:val="000000"/>
          <w:kern w:val="0"/>
          <w:lang w:bidi="ar"/>
        </w:rPr>
      </w:pPr>
      <w:r>
        <w:rPr>
          <w:rFonts w:hint="eastAsia" w:ascii="黑体" w:hAnsi="宋体" w:eastAsia="黑体" w:cs="黑体"/>
          <w:color w:val="000000"/>
          <w:kern w:val="0"/>
          <w:lang w:bidi="ar"/>
        </w:rPr>
        <w:t xml:space="preserve">9.2.3 </w:t>
      </w:r>
      <w:r>
        <w:rPr>
          <w:rFonts w:hint="eastAsia" w:ascii="宋体" w:hAnsi="宋体" w:cs="宋体"/>
          <w:color w:val="000000"/>
          <w:kern w:val="0"/>
          <w:lang w:bidi="ar"/>
        </w:rPr>
        <w:t>诊所环境宜安静，宜避开交通主干道、施工区等高噪声区域，诊室噪声昼间≤45分贝。</w:t>
      </w:r>
    </w:p>
    <w:p w14:paraId="0F0F08A0">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9.2.4 </w:t>
      </w:r>
      <w:r>
        <w:rPr>
          <w:rFonts w:hint="eastAsia" w:ascii="宋体" w:hAnsi="宋体" w:cs="宋体"/>
          <w:color w:val="000000"/>
          <w:kern w:val="0"/>
          <w:lang w:bidi="ar"/>
        </w:rPr>
        <w:t>不应临近少年儿童活动密集场所。</w:t>
      </w:r>
    </w:p>
    <w:p w14:paraId="33824F6A">
      <w:pPr>
        <w:widowControl/>
        <w:adjustRightInd/>
        <w:spacing w:line="240" w:lineRule="auto"/>
        <w:jc w:val="left"/>
        <w:rPr>
          <w:rFonts w:ascii="黑体" w:hAnsi="宋体" w:eastAsia="黑体" w:cs="黑体"/>
          <w:color w:val="000000"/>
          <w:kern w:val="0"/>
          <w:lang w:bidi="ar"/>
        </w:rPr>
      </w:pPr>
    </w:p>
    <w:p w14:paraId="1558C612">
      <w:pPr>
        <w:pStyle w:val="104"/>
        <w:spacing w:before="312" w:after="312"/>
      </w:pPr>
      <w:bookmarkStart w:id="53" w:name="药品管理"/>
      <w:bookmarkStart w:id="54" w:name="_10_药品管理"/>
      <w:r>
        <w:rPr>
          <w:rFonts w:hint="eastAsia"/>
        </w:rPr>
        <w:t>药品管理</w:t>
      </w:r>
      <w:bookmarkEnd w:id="53"/>
      <w:r>
        <w:rPr>
          <w:rFonts w:hint="eastAsia"/>
        </w:rPr>
        <w:t xml:space="preserve"> </w:t>
      </w:r>
      <w:bookmarkEnd w:id="54"/>
    </w:p>
    <w:p w14:paraId="68873F53">
      <w:pPr>
        <w:pStyle w:val="105"/>
        <w:spacing w:before="156" w:after="156"/>
        <w:rPr>
          <w:lang w:bidi="ar"/>
        </w:rPr>
      </w:pPr>
      <w:r>
        <w:rPr>
          <w:rFonts w:hint="eastAsia"/>
          <w:lang w:bidi="ar"/>
        </w:rPr>
        <w:t xml:space="preserve">中药饮片储存保管 </w:t>
      </w:r>
    </w:p>
    <w:p w14:paraId="5C19C9B0">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10.1.1 </w:t>
      </w:r>
      <w:r>
        <w:rPr>
          <w:rFonts w:hint="eastAsia" w:ascii="宋体" w:hAnsi="宋体" w:cs="宋体"/>
          <w:color w:val="000000"/>
          <w:kern w:val="0"/>
          <w:lang w:bidi="ar"/>
        </w:rPr>
        <w:t>中医诊所应有与所使用药品相适应的场所，与使用量相适应的面积。</w:t>
      </w:r>
    </w:p>
    <w:p w14:paraId="054CA34A">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10.1.2 </w:t>
      </w:r>
      <w:r>
        <w:rPr>
          <w:rFonts w:hint="eastAsia" w:ascii="宋体" w:hAnsi="宋体" w:cs="宋体"/>
          <w:color w:val="000000"/>
          <w:kern w:val="0"/>
          <w:lang w:bidi="ar"/>
        </w:rPr>
        <w:t xml:space="preserve">中医诊所应具备通风、调温、调湿、防潮、防虫、防鼠等条件及设施。宜配备可开启的窗户、排风扇、换气扇、空调、除湿机、药品货架、纱窗、纱门、灭蚊灯、挡鼠板、温湿度计等设施，保证药品质量。 </w:t>
      </w:r>
    </w:p>
    <w:p w14:paraId="62D4B31A">
      <w:pPr>
        <w:pStyle w:val="105"/>
        <w:spacing w:before="156" w:after="156"/>
        <w:rPr>
          <w:lang w:bidi="ar"/>
        </w:rPr>
      </w:pPr>
      <w:r>
        <w:rPr>
          <w:rFonts w:hint="eastAsia"/>
          <w:lang w:bidi="ar"/>
        </w:rPr>
        <w:t xml:space="preserve">中药饮片调剂 </w:t>
      </w:r>
    </w:p>
    <w:p w14:paraId="2EF14B43">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10.2.1 </w:t>
      </w:r>
      <w:r>
        <w:rPr>
          <w:rFonts w:hint="eastAsia" w:ascii="宋体" w:hAnsi="宋体" w:cs="宋体"/>
          <w:color w:val="000000"/>
          <w:kern w:val="0"/>
          <w:lang w:bidi="ar"/>
        </w:rPr>
        <w:t xml:space="preserve">中药饮片调剂室应当有与调剂量相适应的面积，配备通风、调温、调湿、防潮、防虫、防鼠、除尘设施，宜配备可开启的窗户、排风扇、换气扇、空调、除湿机、中药饮片柜（药斗）、调剂台、药戥、电子秤、密封罐、纱窗、纱门、灭蚊灯、挡鼠板、温湿度计、吸尘器等设施，保证药品质量。 </w:t>
      </w:r>
    </w:p>
    <w:p w14:paraId="14AF1863">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10.2.2 </w:t>
      </w:r>
      <w:r>
        <w:rPr>
          <w:rFonts w:hint="eastAsia" w:ascii="宋体" w:hAnsi="宋体" w:cs="宋体"/>
          <w:color w:val="000000"/>
          <w:kern w:val="0"/>
          <w:lang w:bidi="ar"/>
        </w:rPr>
        <w:t>工作场地、调剂台应当保持清洁卫生。</w:t>
      </w:r>
    </w:p>
    <w:p w14:paraId="75076601">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10.2.4 </w:t>
      </w:r>
      <w:r>
        <w:rPr>
          <w:rFonts w:hint="eastAsia" w:ascii="宋体" w:hAnsi="宋体" w:cs="宋体"/>
          <w:color w:val="000000"/>
          <w:kern w:val="0"/>
          <w:lang w:bidi="ar"/>
        </w:rPr>
        <w:t>中药饮片调剂用计量器具应当按照质量技术监督部门的规定定期校验，不合格的不得使用。</w:t>
      </w:r>
    </w:p>
    <w:p w14:paraId="481B6864">
      <w:pPr>
        <w:pStyle w:val="105"/>
        <w:spacing w:before="156" w:after="156"/>
        <w:rPr>
          <w:lang w:bidi="ar"/>
        </w:rPr>
      </w:pPr>
      <w:r>
        <w:rPr>
          <w:rFonts w:hint="eastAsia"/>
          <w:lang w:bidi="ar"/>
        </w:rPr>
        <w:t>中药煎煮</w:t>
      </w:r>
    </w:p>
    <w:p w14:paraId="0C2EBE3E">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10.5.1 </w:t>
      </w:r>
      <w:r>
        <w:rPr>
          <w:rFonts w:hint="eastAsia" w:ascii="宋体" w:hAnsi="宋体" w:cs="宋体"/>
          <w:color w:val="000000"/>
          <w:kern w:val="0"/>
          <w:lang w:bidi="ar"/>
        </w:rPr>
        <w:t>煎药室应当有与之相适应的场地及设备，工作区和生活区应分开，工作区内应当设有储藏（药）、准备、煎煮、清洗等功能区域。</w:t>
      </w:r>
    </w:p>
    <w:p w14:paraId="780A9718">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10.5.4 </w:t>
      </w:r>
      <w:r>
        <w:rPr>
          <w:rFonts w:hint="eastAsia" w:ascii="宋体" w:hAnsi="宋体" w:cs="宋体"/>
          <w:color w:val="000000"/>
          <w:kern w:val="0"/>
          <w:lang w:bidi="ar"/>
        </w:rPr>
        <w:t>中医诊所煎药室应具有通风、调温、冷藏、除尘、防积水以及消防等设施，宜配备可开启的窗户、排风扇、换气扇、空调、冰箱、冷藏柜、吸尘器、导水槽、干粉灭火器等设施。</w:t>
      </w:r>
    </w:p>
    <w:p w14:paraId="3F5D65E9">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10.5.5 </w:t>
      </w:r>
      <w:r>
        <w:rPr>
          <w:rFonts w:hint="eastAsia" w:ascii="宋体" w:hAnsi="宋体" w:cs="宋体"/>
          <w:color w:val="000000"/>
          <w:kern w:val="0"/>
          <w:lang w:bidi="ar"/>
        </w:rPr>
        <w:t>中医诊所可与其他医疗机构或有合格资质的药品经营企业等进行合作，采用互联网、物联网等技术提供中药饮片配送、代煎代送等服务。</w:t>
      </w:r>
    </w:p>
    <w:p w14:paraId="409C6DD3">
      <w:pPr>
        <w:pStyle w:val="104"/>
        <w:spacing w:before="312" w:after="312"/>
        <w:rPr>
          <w:lang w:bidi="ar"/>
        </w:rPr>
      </w:pPr>
      <w:bookmarkStart w:id="55" w:name="医疗废物"/>
      <w:r>
        <w:rPr>
          <w:rFonts w:hint="eastAsia"/>
          <w:lang w:bidi="ar"/>
        </w:rPr>
        <w:t>医疗废物</w:t>
      </w:r>
      <w:bookmarkEnd w:id="55"/>
    </w:p>
    <w:p w14:paraId="64AA0005">
      <w:pPr>
        <w:pStyle w:val="105"/>
        <w:spacing w:before="156" w:after="156"/>
        <w:rPr>
          <w:lang w:bidi="ar"/>
        </w:rPr>
      </w:pPr>
      <w:r>
        <w:rPr>
          <w:rFonts w:hint="eastAsia"/>
          <w:lang w:bidi="ar"/>
        </w:rPr>
        <w:t>医疗废物的收集</w:t>
      </w:r>
    </w:p>
    <w:p w14:paraId="4DBD4632">
      <w:pPr>
        <w:widowControl/>
        <w:adjustRightInd/>
        <w:spacing w:line="240" w:lineRule="auto"/>
        <w:jc w:val="left"/>
        <w:rPr>
          <w:rFonts w:ascii="黑体" w:hAnsi="宋体" w:eastAsia="黑体" w:cs="黑体"/>
          <w:color w:val="000000"/>
          <w:kern w:val="0"/>
          <w:lang w:bidi="ar"/>
        </w:rPr>
      </w:pPr>
      <w:r>
        <w:rPr>
          <w:rFonts w:hint="eastAsia" w:ascii="黑体" w:hAnsi="宋体" w:eastAsia="黑体" w:cs="黑体"/>
          <w:color w:val="000000"/>
          <w:kern w:val="0"/>
          <w:lang w:bidi="ar"/>
        </w:rPr>
        <w:t xml:space="preserve">11.1.1 </w:t>
      </w:r>
      <w:r>
        <w:rPr>
          <w:rFonts w:hint="eastAsia" w:ascii="宋体" w:hAnsi="宋体" w:cs="宋体"/>
          <w:color w:val="000000"/>
          <w:kern w:val="0"/>
          <w:lang w:bidi="ar"/>
        </w:rPr>
        <w:t>中医诊所应及时收集诊所产生的医疗废物，按照类别分置于防渗漏、防锐器穿透的专用包装物或者密闭的容器内。</w:t>
      </w:r>
    </w:p>
    <w:p w14:paraId="2D501CEC">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11.1.2 </w:t>
      </w:r>
      <w:r>
        <w:rPr>
          <w:rFonts w:hint="eastAsia" w:ascii="宋体" w:hAnsi="宋体" w:cs="宋体"/>
          <w:color w:val="000000"/>
          <w:kern w:val="0"/>
          <w:lang w:bidi="ar"/>
        </w:rPr>
        <w:t>医疗废物应有专用包装物、容器，且应符合 HJ 421 要求，并配明显的警示标识和警示说明。</w:t>
      </w:r>
    </w:p>
    <w:p w14:paraId="7F570478">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11.1.3 </w:t>
      </w:r>
      <w:r>
        <w:rPr>
          <w:rFonts w:hint="eastAsia" w:ascii="宋体" w:hAnsi="宋体" w:cs="宋体"/>
          <w:color w:val="000000"/>
          <w:kern w:val="0"/>
          <w:lang w:bidi="ar"/>
        </w:rPr>
        <w:t>医疗废物产生地点应当有医疗废物分类收集方法的示意图或文字说明。</w:t>
      </w:r>
    </w:p>
    <w:p w14:paraId="344825F2">
      <w:pPr>
        <w:pStyle w:val="105"/>
        <w:spacing w:before="156" w:after="156"/>
        <w:rPr>
          <w:lang w:bidi="ar"/>
        </w:rPr>
      </w:pPr>
      <w:r>
        <w:rPr>
          <w:rFonts w:hint="eastAsia"/>
          <w:lang w:bidi="ar"/>
        </w:rPr>
        <w:t>医疗废物的暂时储存</w:t>
      </w:r>
    </w:p>
    <w:p w14:paraId="46C36C0C">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11.2.1 </w:t>
      </w:r>
      <w:r>
        <w:rPr>
          <w:rFonts w:hint="eastAsia" w:ascii="宋体" w:hAnsi="宋体" w:cs="宋体"/>
          <w:color w:val="000000"/>
          <w:kern w:val="0"/>
          <w:lang w:bidi="ar"/>
        </w:rPr>
        <w:t>中医诊所应配备医疗废物的暂时贮存设施、设备，不应露天存放医疗废物。</w:t>
      </w:r>
    </w:p>
    <w:p w14:paraId="70DED173">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11.2.2 </w:t>
      </w:r>
      <w:r>
        <w:rPr>
          <w:rFonts w:hint="eastAsia" w:ascii="宋体" w:hAnsi="宋体" w:cs="宋体"/>
          <w:color w:val="000000"/>
          <w:kern w:val="0"/>
          <w:lang w:bidi="ar"/>
        </w:rPr>
        <w:t>医疗废物的暂时贮存设施、设备，应远离医疗区、食品加工区和人员活动区以及生活垃圾存放场所，并应设置明显的警示标识和防渗漏、防鼠、防蚊蝇、防蟑螂、防盗以及预防儿童接触等安全措施。</w:t>
      </w:r>
    </w:p>
    <w:p w14:paraId="764E05AC">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11.2.3 </w:t>
      </w:r>
      <w:r>
        <w:rPr>
          <w:rFonts w:hint="eastAsia" w:ascii="宋体" w:hAnsi="宋体" w:cs="宋体"/>
          <w:color w:val="000000"/>
          <w:kern w:val="0"/>
          <w:lang w:bidi="ar"/>
        </w:rPr>
        <w:t>医疗废物的暂时贮存设施、设备应定期消毒和清洁。</w:t>
      </w:r>
    </w:p>
    <w:p w14:paraId="3FAF12A0">
      <w:pPr>
        <w:pStyle w:val="105"/>
        <w:spacing w:before="156" w:after="156"/>
        <w:rPr>
          <w:lang w:bidi="ar"/>
        </w:rPr>
      </w:pPr>
      <w:r>
        <w:rPr>
          <w:rFonts w:hint="eastAsia"/>
          <w:lang w:bidi="ar"/>
        </w:rPr>
        <w:t>医疗废物运送</w:t>
      </w:r>
    </w:p>
    <w:p w14:paraId="28DC254A">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11.3.1</w:t>
      </w:r>
      <w:r>
        <w:rPr>
          <w:rFonts w:hint="eastAsia" w:ascii="宋体" w:hAnsi="宋体" w:cs="宋体"/>
          <w:color w:val="000000"/>
          <w:kern w:val="0"/>
          <w:lang w:bidi="ar"/>
        </w:rPr>
        <w:t>中医诊所应当使用防渗漏、防遗撒的专用运送工具，按照确定的运送时间、路线，将医疗废物收集运送至暂时贮存点。</w:t>
      </w:r>
    </w:p>
    <w:p w14:paraId="6F1509E4">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11.3.2</w:t>
      </w:r>
      <w:r>
        <w:rPr>
          <w:rFonts w:hint="eastAsia" w:ascii="宋体" w:hAnsi="宋体" w:cs="宋体"/>
          <w:color w:val="000000"/>
          <w:kern w:val="0"/>
          <w:lang w:bidi="ar"/>
        </w:rPr>
        <w:t>运送工具使用后，应当在诊所内指定的地点及时消毒和清洁。</w:t>
      </w:r>
    </w:p>
    <w:p w14:paraId="632940CA">
      <w:pPr>
        <w:pStyle w:val="105"/>
        <w:spacing w:before="156" w:after="156"/>
        <w:rPr>
          <w:lang w:bidi="ar"/>
        </w:rPr>
      </w:pPr>
      <w:r>
        <w:rPr>
          <w:rFonts w:hint="eastAsia"/>
          <w:lang w:bidi="ar"/>
        </w:rPr>
        <w:t>医疗污水</w:t>
      </w:r>
    </w:p>
    <w:p w14:paraId="6DDFB16A">
      <w:pPr>
        <w:widowControl/>
        <w:adjustRightInd/>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中医诊所产生的医疗污水、传染病病人或者疑似传染病病人的排泄物，应当按照国家规定严格消毒，医疗污水排放应符合GB18466的有关规定。达到国家规定的排放标准后，方可排入污水处理系统。</w:t>
      </w:r>
      <w:bookmarkStart w:id="56" w:name="消防"/>
    </w:p>
    <w:p w14:paraId="71876BDF">
      <w:pPr>
        <w:pStyle w:val="104"/>
        <w:spacing w:before="312" w:after="312"/>
        <w:rPr>
          <w:lang w:bidi="ar"/>
        </w:rPr>
      </w:pPr>
      <w:r>
        <w:rPr>
          <w:rFonts w:hint="eastAsia"/>
          <w:lang w:bidi="ar"/>
        </w:rPr>
        <w:t>消防</w:t>
      </w:r>
      <w:bookmarkEnd w:id="56"/>
    </w:p>
    <w:p w14:paraId="6468B333">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12.1</w:t>
      </w:r>
      <w:r>
        <w:rPr>
          <w:rFonts w:hint="eastAsia" w:ascii="黑体" w:hAnsi="宋体" w:eastAsia="黑体" w:cs="黑体"/>
          <w:color w:val="000000"/>
        </w:rPr>
        <w:t xml:space="preserve"> </w:t>
      </w:r>
      <w:r>
        <w:rPr>
          <w:rFonts w:hint="eastAsia" w:ascii="宋体" w:hAnsi="宋体" w:cs="宋体"/>
          <w:color w:val="000000"/>
          <w:kern w:val="0"/>
          <w:lang w:bidi="ar"/>
        </w:rPr>
        <w:t xml:space="preserve">中医诊所应根据国家规定配备相应的灭火器材、装备和个人防护器材。灭火器材放置位置应醒目、便于取用。 </w:t>
      </w:r>
    </w:p>
    <w:p w14:paraId="67C6F639">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12.2</w:t>
      </w:r>
      <w:r>
        <w:rPr>
          <w:rFonts w:hint="eastAsia" w:ascii="黑体" w:hAnsi="宋体" w:eastAsia="黑体" w:cs="黑体"/>
          <w:color w:val="000000"/>
        </w:rPr>
        <w:t xml:space="preserve"> </w:t>
      </w:r>
      <w:r>
        <w:rPr>
          <w:rFonts w:hint="eastAsia" w:ascii="宋体" w:hAnsi="宋体" w:cs="宋体"/>
          <w:color w:val="000000"/>
          <w:kern w:val="0"/>
          <w:lang w:bidi="ar"/>
        </w:rPr>
        <w:t>中医诊所应在不同区域的明显位置，如人员较集中的位置、疏散走道的墙面上等位置应设置该区域的安全疏散指示图，指示图上应标明疏散路线、安全出口、人员所在位置和必要的文字说明，并应符合 GB/T 25894 的相关规定。</w:t>
      </w:r>
    </w:p>
    <w:p w14:paraId="40849262">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12.3</w:t>
      </w:r>
      <w:r>
        <w:rPr>
          <w:rFonts w:hint="eastAsia" w:ascii="黑体" w:hAnsi="宋体" w:eastAsia="黑体" w:cs="黑体"/>
          <w:color w:val="000000"/>
        </w:rPr>
        <w:t xml:space="preserve"> </w:t>
      </w:r>
      <w:r>
        <w:rPr>
          <w:rFonts w:hint="eastAsia" w:ascii="宋体" w:hAnsi="宋体" w:cs="宋体"/>
          <w:color w:val="000000"/>
          <w:kern w:val="0"/>
          <w:lang w:bidi="ar"/>
        </w:rPr>
        <w:t>建筑内的疏散走道、安全出口应保持畅通，疏散门和楼梯间的门不应被锁闭，禁止占用、堵塞疏散走道和楼梯间。</w:t>
      </w:r>
    </w:p>
    <w:p w14:paraId="757B4A07">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12.4</w:t>
      </w:r>
      <w:r>
        <w:rPr>
          <w:rFonts w:hint="eastAsia" w:ascii="黑体" w:hAnsi="宋体" w:eastAsia="黑体" w:cs="黑体"/>
          <w:color w:val="000000"/>
        </w:rPr>
        <w:t xml:space="preserve"> </w:t>
      </w:r>
      <w:r>
        <w:rPr>
          <w:rFonts w:hint="eastAsia" w:ascii="宋体" w:hAnsi="宋体" w:cs="宋体"/>
          <w:color w:val="000000"/>
          <w:kern w:val="0"/>
          <w:lang w:bidi="ar"/>
        </w:rPr>
        <w:t>医疗机构建筑的内部装修材料和临时装饰性材料或分隔组件的燃烧性能要求和标识，应符合 GB 50222 和 GB 20286 的规定。</w:t>
      </w:r>
    </w:p>
    <w:p w14:paraId="5E319B8E">
      <w:pPr>
        <w:pStyle w:val="104"/>
        <w:spacing w:before="312" w:after="312"/>
      </w:pPr>
      <w:bookmarkStart w:id="57" w:name="管理制度和操作规范"/>
      <w:r>
        <w:rPr>
          <w:rFonts w:hint="eastAsia"/>
        </w:rPr>
        <w:t>管理制度和操作规范</w:t>
      </w:r>
      <w:bookmarkEnd w:id="57"/>
      <w:r>
        <w:rPr>
          <w:rFonts w:hint="eastAsia"/>
        </w:rPr>
        <w:t xml:space="preserve"> </w:t>
      </w:r>
    </w:p>
    <w:p w14:paraId="68C65682">
      <w:pPr>
        <w:pStyle w:val="105"/>
        <w:spacing w:before="156" w:after="156"/>
        <w:rPr>
          <w:lang w:bidi="ar"/>
        </w:rPr>
      </w:pPr>
      <w:r>
        <w:rPr>
          <w:rFonts w:hint="eastAsia"/>
          <w:lang w:bidi="ar"/>
        </w:rPr>
        <w:t xml:space="preserve">管理制度 </w:t>
      </w:r>
    </w:p>
    <w:p w14:paraId="42AA7EFD">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13.1.1</w:t>
      </w:r>
      <w:r>
        <w:rPr>
          <w:rFonts w:hint="eastAsia" w:ascii="宋体" w:hAnsi="宋体" w:cs="宋体"/>
          <w:color w:val="000000"/>
          <w:kern w:val="0"/>
          <w:lang w:bidi="ar"/>
        </w:rPr>
        <w:t xml:space="preserve"> 中医诊所应按照国家规定建立管理制度，如首诊负责制、值班和交接班制度、查对制度、处方管理制度、病历管理制度、急危重症抢救制度、转诊制度、知情同意制度、病案管理制度、医疗质量安全管理制度、中医技术评估论证管理制度、传染病疫情报告和登记制度、消毒隔离制度、污水污物处理制度、医疗废物处理制度、消防安全管理制度、信息安全管理制度、医疗纠纷（事故）防范制度等制度、在职教育培训制度等。设有药房的，还应包括中药使用管理制度、中药饮片调剂制度、中药煎药制度等。   </w:t>
      </w:r>
    </w:p>
    <w:p w14:paraId="3F70CEDC">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13.1.2</w:t>
      </w:r>
      <w:r>
        <w:rPr>
          <w:rFonts w:hint="eastAsia" w:ascii="宋体" w:hAnsi="宋体" w:cs="宋体"/>
          <w:color w:val="000000"/>
          <w:kern w:val="0"/>
          <w:lang w:bidi="ar"/>
        </w:rPr>
        <w:t xml:space="preserve"> 中医诊所应建立其他工作制度，如中医诊所工作制度、中医诊所医师岗位责任制度、中医诊所治疗室制度、中医诊所中药房制度、中医诊所煎药室制度、中医诊所医疗废弃物暂存间制度等。 </w:t>
      </w:r>
    </w:p>
    <w:p w14:paraId="6E8A3961">
      <w:pPr>
        <w:pStyle w:val="105"/>
        <w:spacing w:before="156" w:after="156"/>
        <w:rPr>
          <w:lang w:bidi="ar"/>
        </w:rPr>
      </w:pPr>
      <w:r>
        <w:rPr>
          <w:rFonts w:hint="eastAsia"/>
          <w:lang w:bidi="ar"/>
        </w:rPr>
        <w:t xml:space="preserve">操作规范 </w:t>
      </w:r>
    </w:p>
    <w:p w14:paraId="5CE2FAEA">
      <w:pPr>
        <w:widowControl/>
        <w:adjustRightInd/>
        <w:spacing w:line="240" w:lineRule="auto"/>
        <w:jc w:val="left"/>
      </w:pPr>
      <w:r>
        <w:rPr>
          <w:rFonts w:hint="eastAsia" w:ascii="黑体" w:hAnsi="宋体" w:eastAsia="黑体" w:cs="黑体"/>
          <w:color w:val="000000"/>
          <w:kern w:val="0"/>
          <w:lang w:bidi="ar"/>
        </w:rPr>
        <w:t xml:space="preserve">13.2.1 </w:t>
      </w:r>
      <w:r>
        <w:rPr>
          <w:rFonts w:hint="eastAsia" w:ascii="宋体" w:hAnsi="宋体" w:cs="宋体"/>
          <w:color w:val="000000"/>
          <w:kern w:val="0"/>
          <w:lang w:bidi="ar"/>
        </w:rPr>
        <w:t xml:space="preserve">中医诊所应有国家制定或认可的医疗技术操作规程，宜装订成册可用。 </w:t>
      </w:r>
    </w:p>
    <w:p w14:paraId="199D5FD4">
      <w:pPr>
        <w:widowControl/>
        <w:adjustRightInd/>
        <w:spacing w:line="240" w:lineRule="auto"/>
        <w:jc w:val="left"/>
        <w:rPr>
          <w:rFonts w:ascii="黑体" w:hAnsi="宋体" w:eastAsia="黑体" w:cs="黑体"/>
          <w:color w:val="000000"/>
          <w:kern w:val="0"/>
          <w:lang w:bidi="ar"/>
        </w:rPr>
      </w:pPr>
      <w:r>
        <w:rPr>
          <w:rFonts w:hint="eastAsia" w:ascii="黑体" w:hAnsi="宋体" w:eastAsia="黑体" w:cs="黑体"/>
          <w:color w:val="000000"/>
          <w:kern w:val="0"/>
          <w:lang w:bidi="ar"/>
        </w:rPr>
        <w:t xml:space="preserve">13.2.2 </w:t>
      </w:r>
      <w:r>
        <w:rPr>
          <w:rFonts w:hint="eastAsia" w:ascii="宋体" w:hAnsi="宋体" w:cs="宋体"/>
          <w:color w:val="000000"/>
          <w:kern w:val="0"/>
          <w:lang w:bidi="ar"/>
        </w:rPr>
        <w:t>中医诊所应制定感染控制制度和流程，中医药技术操作应符合中医医疗技术感染预防与控制的规定。</w:t>
      </w:r>
      <w:r>
        <w:rPr>
          <w:rFonts w:hint="eastAsia" w:ascii="黑体" w:hAnsi="宋体" w:eastAsia="黑体" w:cs="黑体"/>
          <w:color w:val="000000"/>
          <w:kern w:val="0"/>
          <w:lang w:bidi="ar"/>
        </w:rPr>
        <w:t xml:space="preserve"> </w:t>
      </w:r>
    </w:p>
    <w:p w14:paraId="016467D7">
      <w:pPr>
        <w:pStyle w:val="104"/>
        <w:spacing w:before="312" w:after="312"/>
        <w:rPr>
          <w:lang w:bidi="ar"/>
        </w:rPr>
      </w:pPr>
      <w:bookmarkStart w:id="58" w:name="信息系统"/>
      <w:r>
        <w:rPr>
          <w:rFonts w:hint="eastAsia"/>
          <w:lang w:bidi="ar"/>
        </w:rPr>
        <w:t>信息系统</w:t>
      </w:r>
      <w:bookmarkEnd w:id="58"/>
    </w:p>
    <w:p w14:paraId="135BAD1C">
      <w:pPr>
        <w:pStyle w:val="105"/>
        <w:spacing w:before="156" w:after="156"/>
        <w:rPr>
          <w:lang w:bidi="ar"/>
        </w:rPr>
      </w:pPr>
      <w:r>
        <w:rPr>
          <w:rFonts w:hint="eastAsia"/>
          <w:lang w:bidi="ar"/>
        </w:rPr>
        <w:t>系统功能</w:t>
      </w:r>
    </w:p>
    <w:p w14:paraId="624BEC17">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14.1.1  </w:t>
      </w:r>
      <w:r>
        <w:rPr>
          <w:rFonts w:hint="eastAsia" w:ascii="宋体" w:hAnsi="宋体" w:cs="宋体"/>
          <w:color w:val="000000"/>
          <w:kern w:val="0"/>
          <w:lang w:bidi="ar"/>
        </w:rPr>
        <w:t>中医诊所应按国家规定逐步建立信息系统，依据开展执业活动，设置包含提供挂号、收费、</w:t>
      </w:r>
      <w:r>
        <w:rPr>
          <w:rFonts w:ascii="宋体" w:hAnsi="宋体" w:cs="宋体"/>
          <w:color w:val="000000"/>
          <w:kern w:val="0"/>
          <w:lang w:bidi="ar"/>
        </w:rPr>
        <w:t>门诊电子病历</w:t>
      </w:r>
      <w:r>
        <w:rPr>
          <w:rFonts w:hint="eastAsia" w:ascii="宋体" w:hAnsi="宋体" w:cs="宋体"/>
          <w:color w:val="000000"/>
          <w:kern w:val="0"/>
          <w:lang w:bidi="ar"/>
        </w:rPr>
        <w:t>、药品管理、中药煎药管理等基本应用和管理功能，为诊疗过程提供信息技术支持与辅助管理。</w:t>
      </w:r>
    </w:p>
    <w:p w14:paraId="16411446">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14.1.2  </w:t>
      </w:r>
      <w:r>
        <w:rPr>
          <w:rFonts w:hint="eastAsia" w:ascii="宋体" w:hAnsi="宋体" w:cs="宋体"/>
          <w:color w:val="000000"/>
          <w:kern w:val="0"/>
          <w:lang w:bidi="ar"/>
        </w:rPr>
        <w:t>中医电子病历内容应当按照国家中医药管理局《中医病历书写基本规范》执行，使用国家中医药管理局统一制定的项目名称、格式和内容，不得擅自变更。</w:t>
      </w:r>
    </w:p>
    <w:p w14:paraId="6CC421D0">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14.1.3  </w:t>
      </w:r>
      <w:r>
        <w:rPr>
          <w:rFonts w:hint="eastAsia" w:ascii="宋体" w:hAnsi="宋体" w:cs="宋体"/>
          <w:color w:val="000000"/>
          <w:kern w:val="0"/>
          <w:lang w:bidi="ar"/>
        </w:rPr>
        <w:t>电子病历系统应当为操作人员提供专有的身份标识和识别手段，并设置有相应权限；操作人员对本人身份标识的使用负责。</w:t>
      </w:r>
    </w:p>
    <w:p w14:paraId="37E2C961">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14.1.4  </w:t>
      </w:r>
      <w:r>
        <w:rPr>
          <w:rFonts w:ascii="宋体" w:hAnsi="宋体" w:cs="宋体"/>
          <w:color w:val="000000"/>
          <w:kern w:val="0"/>
          <w:lang w:bidi="ar"/>
        </w:rPr>
        <w:t>门诊</w:t>
      </w:r>
      <w:r>
        <w:rPr>
          <w:rFonts w:hint="eastAsia" w:ascii="宋体" w:hAnsi="宋体" w:cs="宋体"/>
          <w:color w:val="000000"/>
          <w:kern w:val="0"/>
          <w:lang w:bidi="ar"/>
        </w:rPr>
        <w:t>电子病历系统应当保证医务人员查阅病历的需要，能够及时提供并完整呈现该患者的电子病历资料。</w:t>
      </w:r>
    </w:p>
    <w:p w14:paraId="67322B53">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14.1.5  </w:t>
      </w:r>
      <w:r>
        <w:rPr>
          <w:rFonts w:hint="eastAsia" w:ascii="宋体" w:hAnsi="宋体" w:cs="宋体"/>
          <w:color w:val="000000"/>
          <w:kern w:val="0"/>
          <w:lang w:bidi="ar"/>
        </w:rPr>
        <w:t>中医诊所宜发展中医远程医疗、移动医疗、智慧医疗等新型医疗服务，积极开发或者使用中医智能辅助诊疗系统。</w:t>
      </w:r>
    </w:p>
    <w:p w14:paraId="44D99E7D">
      <w:pPr>
        <w:pStyle w:val="105"/>
        <w:spacing w:before="156" w:after="156"/>
        <w:rPr>
          <w:lang w:bidi="ar"/>
        </w:rPr>
      </w:pPr>
      <w:r>
        <w:rPr>
          <w:rFonts w:hint="eastAsia"/>
          <w:lang w:bidi="ar"/>
        </w:rPr>
        <w:t xml:space="preserve">互联互通 </w:t>
      </w:r>
    </w:p>
    <w:p w14:paraId="7BEA20BD">
      <w:pPr>
        <w:widowControl/>
        <w:adjustRightInd/>
        <w:spacing w:line="240" w:lineRule="auto"/>
        <w:jc w:val="left"/>
        <w:rPr>
          <w:rFonts w:ascii="宋体" w:hAnsi="宋体" w:cs="宋体"/>
          <w:color w:val="000000"/>
          <w:kern w:val="0"/>
          <w:lang w:bidi="ar"/>
        </w:rPr>
      </w:pPr>
      <w:r>
        <w:rPr>
          <w:rFonts w:hint="eastAsia" w:ascii="黑体" w:hAnsi="宋体" w:eastAsia="黑体" w:cs="黑体"/>
          <w:color w:val="000000"/>
          <w:kern w:val="0"/>
          <w:lang w:bidi="ar"/>
        </w:rPr>
        <w:t xml:space="preserve">14.2.1 </w:t>
      </w:r>
      <w:r>
        <w:rPr>
          <w:rFonts w:hint="eastAsia" w:ascii="宋体" w:hAnsi="宋体" w:cs="宋体"/>
          <w:color w:val="000000"/>
          <w:kern w:val="0"/>
          <w:lang w:bidi="ar"/>
        </w:rPr>
        <w:t xml:space="preserve">中医诊所信息系统应与所在地诊所信息化监管平台对接，实现医疗服务的事前、事中、事后监管。 </w:t>
      </w:r>
    </w:p>
    <w:p w14:paraId="26DC45D2">
      <w:pPr>
        <w:widowControl/>
        <w:adjustRightInd/>
        <w:spacing w:line="240" w:lineRule="auto"/>
        <w:jc w:val="left"/>
      </w:pPr>
      <w:r>
        <w:rPr>
          <w:rFonts w:hint="eastAsia" w:ascii="黑体" w:hAnsi="宋体" w:eastAsia="黑体" w:cs="黑体"/>
          <w:color w:val="000000"/>
          <w:kern w:val="0"/>
          <w:lang w:bidi="ar"/>
        </w:rPr>
        <w:t xml:space="preserve">14.2.2 </w:t>
      </w:r>
      <w:r>
        <w:rPr>
          <w:rFonts w:hint="eastAsia" w:ascii="宋体" w:hAnsi="宋体" w:cs="宋体"/>
          <w:color w:val="000000"/>
          <w:kern w:val="0"/>
          <w:lang w:bidi="ar"/>
        </w:rPr>
        <w:t xml:space="preserve">有中医医保需求的，中医诊所信息系统应满足医保部门信息化互联互通要求，并完成与医疗信息系统的对接。 </w:t>
      </w:r>
    </w:p>
    <w:p w14:paraId="4FDCFA0D">
      <w:pPr>
        <w:pStyle w:val="105"/>
        <w:spacing w:before="156" w:after="156"/>
        <w:rPr>
          <w:lang w:bidi="ar"/>
        </w:rPr>
      </w:pPr>
      <w:r>
        <w:rPr>
          <w:rFonts w:hint="eastAsia"/>
          <w:lang w:bidi="ar"/>
        </w:rPr>
        <w:t xml:space="preserve">网络安全 </w:t>
      </w:r>
    </w:p>
    <w:p w14:paraId="6D87E7CB">
      <w:pPr>
        <w:widowControl/>
        <w:adjustRightInd/>
        <w:spacing w:line="240" w:lineRule="auto"/>
        <w:jc w:val="left"/>
      </w:pPr>
      <w:r>
        <w:rPr>
          <w:rFonts w:hint="eastAsia" w:ascii="黑体" w:hAnsi="宋体" w:eastAsia="黑体" w:cs="黑体"/>
          <w:color w:val="000000"/>
          <w:kern w:val="0"/>
          <w:lang w:bidi="ar"/>
        </w:rPr>
        <w:t xml:space="preserve">14.3.1 </w:t>
      </w:r>
      <w:r>
        <w:rPr>
          <w:rFonts w:hint="eastAsia" w:ascii="宋体" w:hAnsi="宋体" w:cs="宋体"/>
          <w:color w:val="000000"/>
          <w:kern w:val="0"/>
          <w:lang w:bidi="ar"/>
        </w:rPr>
        <w:t xml:space="preserve">中医诊所的网络应符合网络运行的安全要求，保障网络免受干扰、破坏或者未经授权的访问，严禁篡改、伪造、隐匿、抢夺、窃取和毁坏电子病历。 </w:t>
      </w:r>
    </w:p>
    <w:p w14:paraId="4944BD4D">
      <w:pPr>
        <w:widowControl/>
        <w:adjustRightInd/>
        <w:spacing w:line="240" w:lineRule="auto"/>
        <w:jc w:val="left"/>
      </w:pPr>
      <w:r>
        <w:rPr>
          <w:rFonts w:hint="eastAsia" w:ascii="黑体" w:hAnsi="宋体" w:eastAsia="黑体" w:cs="黑体"/>
          <w:color w:val="000000"/>
          <w:kern w:val="0"/>
          <w:lang w:bidi="ar"/>
        </w:rPr>
        <w:t xml:space="preserve">14.3.2 </w:t>
      </w:r>
      <w:r>
        <w:rPr>
          <w:rFonts w:hint="eastAsia" w:ascii="宋体" w:hAnsi="宋体" w:cs="宋体"/>
          <w:color w:val="000000"/>
          <w:kern w:val="0"/>
          <w:lang w:bidi="ar"/>
        </w:rPr>
        <w:t>中医诊所应建立健全信息安全保密制度，设定医务人员和管理人员调阅、复制、打印电子病历的相应权限，对其收集的患者隐私和个人信息严格保密。</w:t>
      </w:r>
    </w:p>
    <w:p w14:paraId="4A47C875">
      <w:pPr>
        <w:pStyle w:val="56"/>
        <w:ind w:firstLine="0" w:firstLineChars="0"/>
        <w:rPr>
          <w:rFonts w:ascii="黑体" w:hAnsi="黑体" w:eastAsia="黑体" w:cs="黑体"/>
        </w:rPr>
      </w:pPr>
    </w:p>
    <w:bookmarkEnd w:id="17"/>
    <w:p w14:paraId="0767B386">
      <w:pPr>
        <w:pStyle w:val="56"/>
        <w:ind w:firstLine="0" w:firstLineChars="0"/>
        <w:jc w:val="center"/>
      </w:pPr>
      <w:bookmarkStart w:id="59" w:name="BookMark8"/>
      <w:r>
        <w:rPr>
          <w:rFonts w:hint="eastAsia"/>
        </w:rPr>
        <w:drawing>
          <wp:inline distT="0" distB="0" distL="0" distR="0">
            <wp:extent cx="1485900" cy="317500"/>
            <wp:effectExtent l="0" t="0" r="0" b="6350"/>
            <wp:docPr id="1453621966" name="图片 1"/>
            <wp:cNvGraphicFramePr/>
            <a:graphic xmlns:a="http://schemas.openxmlformats.org/drawingml/2006/main">
              <a:graphicData uri="http://schemas.openxmlformats.org/drawingml/2006/picture">
                <pic:pic xmlns:pic="http://schemas.openxmlformats.org/drawingml/2006/picture">
                  <pic:nvPicPr>
                    <pic:cNvPr id="1453621966"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footerReference r:id="rId14" w:type="default"/>
      <w:headerReference r:id="rId13" w:type="even"/>
      <w:footerReference r:id="rId15"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FCC4">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0C0F7">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D0C0F7">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48F84">
    <w:pPr>
      <w:pStyle w:val="1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29C47">
                          <w:pPr>
                            <w:pStyle w:val="17"/>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BA29C47">
                    <w:pPr>
                      <w:pStyle w:val="17"/>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C740C">
    <w:pPr>
      <w:pStyle w:val="17"/>
      <w:ind w:right="720"/>
      <w:jc w:val="both"/>
      <w:rPr>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E4AD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0DE4AD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4FAE">
    <w:pPr>
      <w:pStyle w:val="5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A3FBE">
                          <w:pPr>
                            <w:pStyle w:val="52"/>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8FA3FBE">
                    <w:pPr>
                      <w:pStyle w:val="52"/>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F3A9C">
    <w:pPr>
      <w:pStyle w:val="5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E5EBC">
                          <w:pPr>
                            <w:pStyle w:val="52"/>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9E5EBC">
                    <w:pPr>
                      <w:pStyle w:val="52"/>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6932F">
    <w:pPr>
      <w:pStyle w:val="17"/>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C7C0F">
                          <w:pPr>
                            <w:pStyle w:val="17"/>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D7C7C0F">
                    <w:pPr>
                      <w:pStyle w:val="17"/>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B1C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4D82">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CCDE0">
    <w:pPr>
      <w:pStyle w:val="61"/>
    </w:pPr>
    <w:r>
      <w:fldChar w:fldCharType="begin"/>
    </w:r>
    <w:r>
      <w:instrText xml:space="preserve"> STYLEREF  标准文件_文件编号  \* MERGEFORMAT </w:instrText>
    </w:r>
    <w:r>
      <w:fldChar w:fldCharType="separate"/>
    </w:r>
    <w:r>
      <w:t>DB21/T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E871">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05B7">
    <w:pPr>
      <w:pStyle w:val="18"/>
      <w:jc w:val="left"/>
      <w:rPr>
        <w:rFonts w:ascii="黑体" w:hAnsi="黑体" w:eastAsia="黑体" w:cs="黑体"/>
        <w:sz w:val="21"/>
        <w:szCs w:val="21"/>
        <w:lang w:val="fr-FR"/>
      </w:rPr>
    </w:pPr>
    <w:r>
      <w:rPr>
        <w:rFonts w:hint="eastAsia" w:ascii="黑体" w:hAnsi="黑体" w:eastAsia="黑体" w:cs="黑体"/>
        <w:sz w:val="21"/>
        <w:szCs w:val="21"/>
      </w:rPr>
      <w:fldChar w:fldCharType="begin"/>
    </w:r>
    <w:r>
      <w:rPr>
        <w:rFonts w:hint="eastAsia" w:ascii="黑体" w:hAnsi="黑体" w:eastAsia="黑体" w:cs="黑体"/>
        <w:sz w:val="21"/>
        <w:szCs w:val="21"/>
        <w:lang w:val="fr-FR"/>
      </w:rPr>
      <w:instrText xml:space="preserve"> STYLEREF  </w:instrText>
    </w:r>
    <w:r>
      <w:rPr>
        <w:rFonts w:hint="eastAsia" w:ascii="黑体" w:hAnsi="黑体" w:eastAsia="黑体" w:cs="黑体"/>
        <w:sz w:val="21"/>
        <w:szCs w:val="21"/>
      </w:rPr>
      <w:instrText xml:space="preserve">标准文件</w:instrText>
    </w:r>
    <w:r>
      <w:rPr>
        <w:rFonts w:hint="eastAsia" w:ascii="黑体" w:hAnsi="黑体" w:eastAsia="黑体" w:cs="黑体"/>
        <w:sz w:val="21"/>
        <w:szCs w:val="21"/>
        <w:lang w:val="fr-FR"/>
      </w:rPr>
      <w:instrText xml:space="preserve">_</w:instrText>
    </w:r>
    <w:r>
      <w:rPr>
        <w:rFonts w:hint="eastAsia" w:ascii="黑体" w:hAnsi="黑体" w:eastAsia="黑体" w:cs="黑体"/>
        <w:sz w:val="21"/>
        <w:szCs w:val="21"/>
      </w:rPr>
      <w:instrText xml:space="preserve">文件编号</w:instrText>
    </w:r>
    <w:r>
      <w:rPr>
        <w:rFonts w:hint="eastAsia" w:ascii="黑体" w:hAnsi="黑体" w:eastAsia="黑体" w:cs="黑体"/>
        <w:sz w:val="21"/>
        <w:szCs w:val="21"/>
        <w:lang w:val="fr-FR"/>
      </w:rPr>
      <w:instrText xml:space="preserve">  \* MERGEFORMAT </w:instrText>
    </w:r>
    <w:r>
      <w:rPr>
        <w:rFonts w:hint="eastAsia" w:ascii="黑体" w:hAnsi="黑体" w:eastAsia="黑体" w:cs="黑体"/>
        <w:sz w:val="21"/>
        <w:szCs w:val="21"/>
      </w:rPr>
      <w:fldChar w:fldCharType="separate"/>
    </w:r>
    <w:r>
      <w:rPr>
        <w:rFonts w:hint="eastAsia" w:ascii="黑体" w:hAnsi="黑体" w:eastAsia="黑体" w:cs="黑体"/>
        <w:sz w:val="21"/>
        <w:szCs w:val="21"/>
        <w:lang w:val="fr-FR"/>
      </w:rPr>
      <w:t>DB21/T XXXX—XXXX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42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YzFkN2ViOTkzMzg5ODI5ZTk5ZTY4ZTk1YWNmMjAifQ=="/>
  </w:docVars>
  <w:rsids>
    <w:rsidRoot w:val="006543A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DA2"/>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1789"/>
    <w:rsid w:val="00243540"/>
    <w:rsid w:val="0024497B"/>
    <w:rsid w:val="0024515B"/>
    <w:rsid w:val="00246021"/>
    <w:rsid w:val="0024666E"/>
    <w:rsid w:val="00247F52"/>
    <w:rsid w:val="00250B25"/>
    <w:rsid w:val="00250BBE"/>
    <w:rsid w:val="002515C2"/>
    <w:rsid w:val="0025194F"/>
    <w:rsid w:val="0026148A"/>
    <w:rsid w:val="002619B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13A"/>
    <w:rsid w:val="00484936"/>
    <w:rsid w:val="00485C89"/>
    <w:rsid w:val="00486BE3"/>
    <w:rsid w:val="004905E4"/>
    <w:rsid w:val="004907F9"/>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FF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0E6"/>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3A2"/>
    <w:rsid w:val="00654EC0"/>
    <w:rsid w:val="0065525B"/>
    <w:rsid w:val="00655B2F"/>
    <w:rsid w:val="00655D4F"/>
    <w:rsid w:val="00656D29"/>
    <w:rsid w:val="006640E5"/>
    <w:rsid w:val="006646F1"/>
    <w:rsid w:val="00664929"/>
    <w:rsid w:val="00664F62"/>
    <w:rsid w:val="006655E1"/>
    <w:rsid w:val="00665F78"/>
    <w:rsid w:val="00672060"/>
    <w:rsid w:val="00672BFD"/>
    <w:rsid w:val="00676048"/>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30D"/>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A9D"/>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0E9"/>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473"/>
    <w:rsid w:val="00D60CEE"/>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743"/>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43DB"/>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1370303"/>
    <w:rsid w:val="1B5C7D76"/>
    <w:rsid w:val="2F4C4463"/>
    <w:rsid w:val="36BD1952"/>
    <w:rsid w:val="53351271"/>
    <w:rsid w:val="6B0C0EBE"/>
    <w:rsid w:val="74082160"/>
    <w:rsid w:val="776E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tiff"/><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6421BF0758B4BF7B7DA2A0ACB039B57"/>
        <w:style w:val=""/>
        <w:category>
          <w:name w:val="常规"/>
          <w:gallery w:val="placeholder"/>
        </w:category>
        <w:types>
          <w:type w:val="bbPlcHdr"/>
        </w:types>
        <w:behaviors>
          <w:behavior w:val="content"/>
        </w:behaviors>
        <w:description w:val=""/>
        <w:guid w:val="{B165182C-C059-45FA-8645-2C7E58FD92BC}"/>
      </w:docPartPr>
      <w:docPartBody>
        <w:p w14:paraId="6EEEA680">
          <w:pPr>
            <w:pStyle w:val="5"/>
          </w:pPr>
          <w:r>
            <w:rPr>
              <w:rStyle w:val="4"/>
              <w:rFonts w:hint="eastAsia"/>
            </w:rPr>
            <w:t>单击或点击此处输入文字。</w:t>
          </w:r>
        </w:p>
      </w:docPartBody>
    </w:docPart>
    <w:docPart>
      <w:docPartPr>
        <w:name w:val="9256ED21DBBC46AABF01B665F5654DD7"/>
        <w:style w:val=""/>
        <w:category>
          <w:name w:val="常规"/>
          <w:gallery w:val="placeholder"/>
        </w:category>
        <w:types>
          <w:type w:val="bbPlcHdr"/>
        </w:types>
        <w:behaviors>
          <w:behavior w:val="content"/>
        </w:behaviors>
        <w:description w:val=""/>
        <w:guid w:val="{9DE1611E-7F4A-4B28-8C35-0F62EA1DA28E}"/>
      </w:docPartPr>
      <w:docPartBody>
        <w:p w14:paraId="4A038D45">
          <w:pPr>
            <w:pStyle w:val="6"/>
          </w:pPr>
          <w:r>
            <w:rPr>
              <w:rStyle w:val="4"/>
              <w:rFonts w:hint="eastAsia"/>
            </w:rPr>
            <w:t>选择一项。</w:t>
          </w:r>
        </w:p>
      </w:docPartBody>
    </w:docPart>
    <w:docPart>
      <w:docPartPr>
        <w:name w:val="17836A85B5754B5D89A1EAE9C259DBF8"/>
        <w:style w:val=""/>
        <w:category>
          <w:name w:val="常规"/>
          <w:gallery w:val="placeholder"/>
        </w:category>
        <w:types>
          <w:type w:val="bbPlcHdr"/>
        </w:types>
        <w:behaviors>
          <w:behavior w:val="content"/>
        </w:behaviors>
        <w:description w:val=""/>
        <w:guid w:val="{510FB7D1-5A45-4642-B25B-8FB58862FCA2}"/>
      </w:docPartPr>
      <w:docPartBody>
        <w:p w14:paraId="45ADA0E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E6"/>
    <w:rsid w:val="00085A19"/>
    <w:rsid w:val="001D21DC"/>
    <w:rsid w:val="003D5DE6"/>
    <w:rsid w:val="00547083"/>
    <w:rsid w:val="006352AF"/>
    <w:rsid w:val="00801FBC"/>
    <w:rsid w:val="008F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6421BF0758B4BF7B7DA2A0ACB039B5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256ED21DBBC46AABF01B665F5654DD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17836A85B5754B5D89A1EAE9C259DBF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3A1A2-CC9E-4982-A6F2-B823C6065925}">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112</Words>
  <Characters>234</Characters>
  <Lines>51</Lines>
  <Paragraphs>14</Paragraphs>
  <TotalTime>20</TotalTime>
  <ScaleCrop>false</ScaleCrop>
  <LinksUpToDate>false</LinksUpToDate>
  <CharactersWithSpaces>330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2025-06-06T08:56:00Z</dcterms:created>
  <dc:creator>ZJW</dc:creator>
  <dc:description>&lt;config cover="true" show_menu="true" version="1.0.0" doctype="SDKXY"&gt;_x000d_
&lt;/config&gt;</dc:description>
  <cp:lastModifiedBy>战东</cp:lastModifiedBy>
  <cp:lastPrinted>2020-08-30T10:00:00Z</cp:lastPrinted>
  <dcterms:modified xsi:type="dcterms:W3CDTF">2025-06-11T01:51:07Z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B2E97B077B0A451380A8990B10B5F400_13</vt:lpwstr>
  </property>
  <property fmtid="{D5CDD505-2E9C-101B-9397-08002B2CF9AE}" pid="16" name="KSOTemplateDocerSaveRecord">
    <vt:lpwstr>eyJoZGlkIjoiYTQ1OTZhOTc5MGU0MjVjZTcyYTM0YjY4MTllNjNhOGQiLCJ1c2VySWQiOiIzODM1OTkxOTQifQ==</vt:lpwstr>
  </property>
</Properties>
</file>