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楷体" w:eastAsia="方正小标宋简体"/>
          <w:b/>
          <w:kern w:val="0"/>
          <w:sz w:val="56"/>
          <w:szCs w:val="44"/>
        </w:rPr>
      </w:pPr>
    </w:p>
    <w:p>
      <w:pPr>
        <w:jc w:val="center"/>
        <w:rPr>
          <w:rFonts w:hint="eastAsia" w:ascii="方正小标宋简体" w:hAnsi="楷体" w:eastAsia="方正小标宋简体"/>
          <w:b/>
          <w:kern w:val="0"/>
          <w:sz w:val="56"/>
          <w:szCs w:val="44"/>
        </w:rPr>
      </w:pPr>
      <w:r>
        <w:rPr>
          <w:rFonts w:hint="eastAsia" w:ascii="方正小标宋简体" w:hAnsi="楷体" w:eastAsia="方正小标宋简体"/>
          <w:b/>
          <w:kern w:val="0"/>
          <w:sz w:val="56"/>
          <w:szCs w:val="44"/>
        </w:rPr>
        <w:t>辽宁省地方标准</w:t>
      </w:r>
    </w:p>
    <w:p>
      <w:pPr>
        <w:jc w:val="center"/>
        <w:rPr>
          <w:rFonts w:hint="eastAsia" w:ascii="楷体_GB2312" w:eastAsia="楷体_GB2312"/>
          <w:kern w:val="0"/>
          <w:sz w:val="44"/>
          <w:szCs w:val="44"/>
        </w:rPr>
      </w:pPr>
    </w:p>
    <w:p>
      <w:pPr>
        <w:jc w:val="center"/>
        <w:rPr>
          <w:rFonts w:hint="eastAsia" w:ascii="黑体" w:eastAsia="黑体"/>
          <w:kern w:val="0"/>
          <w:sz w:val="48"/>
          <w:szCs w:val="44"/>
          <w:lang w:val="en-US" w:eastAsia="zh-CN"/>
        </w:rPr>
      </w:pPr>
      <w:r>
        <w:rPr>
          <w:rFonts w:hint="eastAsia" w:ascii="黑体" w:eastAsia="黑体"/>
          <w:kern w:val="0"/>
          <w:sz w:val="48"/>
          <w:szCs w:val="44"/>
          <w:lang w:val="en-US" w:eastAsia="zh-CN"/>
        </w:rPr>
        <w:t>游走罐中医护理技术操作规范</w:t>
      </w:r>
    </w:p>
    <w:p>
      <w:pPr>
        <w:jc w:val="center"/>
        <w:rPr>
          <w:rFonts w:hint="eastAsia" w:ascii="黑体" w:eastAsia="黑体"/>
          <w:kern w:val="0"/>
          <w:sz w:val="48"/>
          <w:szCs w:val="44"/>
        </w:rPr>
      </w:pPr>
      <w:r>
        <w:rPr>
          <w:rFonts w:hint="eastAsia" w:ascii="黑体" w:eastAsia="黑体"/>
          <w:kern w:val="0"/>
          <w:sz w:val="48"/>
          <w:szCs w:val="44"/>
        </w:rPr>
        <w:t>编制说明</w:t>
      </w: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jc w:val="center"/>
        <w:rPr>
          <w:rFonts w:hint="eastAsia" w:ascii="黑体" w:eastAsia="黑体"/>
          <w:kern w:val="0"/>
          <w:sz w:val="44"/>
          <w:szCs w:val="44"/>
          <w:lang w:val="en-US" w:eastAsia="zh-CN"/>
        </w:rPr>
      </w:pPr>
      <w:r>
        <w:rPr>
          <w:rFonts w:hint="eastAsia" w:ascii="黑体" w:eastAsia="黑体"/>
          <w:kern w:val="0"/>
          <w:sz w:val="44"/>
          <w:szCs w:val="44"/>
          <w:lang w:val="en-US" w:eastAsia="zh-CN"/>
        </w:rPr>
        <w:t>辽宁中医药大学附属医院</w:t>
      </w:r>
    </w:p>
    <w:p>
      <w:pPr>
        <w:jc w:val="center"/>
        <w:rPr>
          <w:rFonts w:hint="default" w:ascii="黑体" w:eastAsia="黑体"/>
          <w:kern w:val="0"/>
          <w:sz w:val="44"/>
          <w:szCs w:val="44"/>
          <w:lang w:val="en-US" w:eastAsia="zh-CN"/>
        </w:rPr>
      </w:pPr>
      <w:r>
        <w:rPr>
          <w:rFonts w:hint="eastAsia" w:ascii="黑体" w:eastAsia="黑体"/>
          <w:kern w:val="0"/>
          <w:sz w:val="44"/>
          <w:szCs w:val="44"/>
        </w:rPr>
        <w:t>202</w:t>
      </w:r>
      <w:r>
        <w:rPr>
          <w:rFonts w:hint="eastAsia" w:ascii="黑体" w:eastAsia="黑体"/>
          <w:kern w:val="0"/>
          <w:sz w:val="44"/>
          <w:szCs w:val="44"/>
          <w:lang w:val="en-US" w:eastAsia="zh-CN"/>
        </w:rPr>
        <w:t>1</w:t>
      </w:r>
      <w:r>
        <w:rPr>
          <w:rFonts w:hint="eastAsia" w:ascii="黑体" w:eastAsia="黑体"/>
          <w:kern w:val="0"/>
          <w:sz w:val="44"/>
          <w:szCs w:val="44"/>
        </w:rPr>
        <w:t>.0</w:t>
      </w:r>
      <w:r>
        <w:rPr>
          <w:rFonts w:hint="eastAsia" w:ascii="黑体" w:eastAsia="黑体"/>
          <w:kern w:val="0"/>
          <w:sz w:val="44"/>
          <w:szCs w:val="44"/>
          <w:lang w:val="en-US" w:eastAsia="zh-CN"/>
        </w:rPr>
        <w:t>6</w:t>
      </w:r>
      <w:r>
        <w:rPr>
          <w:rFonts w:hint="eastAsia" w:ascii="黑体" w:eastAsia="黑体"/>
          <w:kern w:val="0"/>
          <w:sz w:val="44"/>
          <w:szCs w:val="44"/>
        </w:rPr>
        <w:t>.</w:t>
      </w:r>
      <w:r>
        <w:rPr>
          <w:rFonts w:hint="eastAsia" w:ascii="黑体" w:eastAsia="黑体"/>
          <w:kern w:val="0"/>
          <w:sz w:val="44"/>
          <w:szCs w:val="44"/>
          <w:lang w:val="en-US" w:eastAsia="zh-CN"/>
        </w:rPr>
        <w:t>10</w:t>
      </w: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left"/>
        <w:rPr>
          <w:rFonts w:hint="default" w:ascii="黑体" w:eastAsia="黑体"/>
          <w:kern w:val="0"/>
          <w:sz w:val="44"/>
          <w:szCs w:val="44"/>
          <w:lang w:val="en-US" w:eastAsia="zh-CN"/>
        </w:rPr>
      </w:pPr>
    </w:p>
    <w:p>
      <w:pPr>
        <w:jc w:val="center"/>
        <w:rPr>
          <w:rFonts w:hint="eastAsia" w:ascii="黑体" w:hAnsi="黑体" w:eastAsia="黑体"/>
          <w:szCs w:val="32"/>
        </w:rPr>
      </w:pPr>
      <w:r>
        <w:rPr>
          <w:rFonts w:hint="eastAsia" w:ascii="方正小标宋简体" w:eastAsia="方正小标宋简体"/>
          <w:sz w:val="36"/>
          <w:szCs w:val="36"/>
        </w:rPr>
        <w:t>《</w:t>
      </w:r>
      <w:r>
        <w:rPr>
          <w:rFonts w:hint="eastAsia" w:ascii="方正小标宋简体" w:eastAsia="方正小标宋简体"/>
          <w:sz w:val="36"/>
          <w:szCs w:val="36"/>
          <w:lang w:val="en-US" w:eastAsia="zh-CN"/>
        </w:rPr>
        <w:t>游走罐中医护理技术操作规范</w:t>
      </w:r>
      <w:r>
        <w:rPr>
          <w:rFonts w:hint="eastAsia" w:ascii="方正小标宋简体" w:eastAsia="方正小标宋简体"/>
          <w:sz w:val="36"/>
          <w:szCs w:val="36"/>
        </w:rPr>
        <w:t>》地方标准编制说明</w:t>
      </w:r>
    </w:p>
    <w:p>
      <w:pPr>
        <w:pStyle w:val="9"/>
        <w:ind w:left="640" w:leftChars="200" w:firstLine="0" w:firstLineChars="0"/>
        <w:jc w:val="left"/>
        <w:rPr>
          <w:rFonts w:ascii="黑体" w:hAnsi="黑体" w:eastAsia="黑体"/>
          <w:szCs w:val="32"/>
        </w:rPr>
      </w:pPr>
      <w:r>
        <w:rPr>
          <w:rFonts w:hint="eastAsia" w:ascii="黑体" w:hAnsi="黑体" w:eastAsia="黑体"/>
          <w:szCs w:val="32"/>
        </w:rPr>
        <w:t xml:space="preserve">一、工作简介 </w:t>
      </w:r>
    </w:p>
    <w:p>
      <w:pPr>
        <w:ind w:firstLine="640" w:firstLineChars="200"/>
        <w:jc w:val="both"/>
        <w:rPr>
          <w:rFonts w:hint="eastAsia" w:ascii="黑体" w:hAnsi="宋体" w:eastAsia="黑体"/>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一</w:t>
      </w:r>
      <w:r>
        <w:rPr>
          <w:rFonts w:hint="eastAsia" w:ascii="楷体_GB2312" w:eastAsia="楷体_GB2312"/>
          <w:szCs w:val="32"/>
          <w:lang w:eastAsia="zh-CN"/>
        </w:rPr>
        <w:t>）</w:t>
      </w:r>
      <w:r>
        <w:rPr>
          <w:rFonts w:hint="eastAsia" w:ascii="楷体_GB2312" w:eastAsia="楷体_GB2312"/>
          <w:szCs w:val="32"/>
        </w:rPr>
        <w:t xml:space="preserve">任务来源 </w:t>
      </w:r>
    </w:p>
    <w:p>
      <w:pPr>
        <w:ind w:firstLine="560" w:firstLineChars="200"/>
        <w:jc w:val="both"/>
        <w:rPr>
          <w:rFonts w:hint="eastAsia" w:ascii="仿宋_GB2312" w:hAnsi="宋体" w:cs="仿宋_GB2312"/>
          <w:lang w:val="en-US" w:eastAsia="zh-CN"/>
        </w:rPr>
      </w:pPr>
      <w:r>
        <w:rPr>
          <w:rFonts w:hint="eastAsia" w:cs="Times New Roman"/>
          <w:sz w:val="28"/>
          <w:szCs w:val="28"/>
          <w:lang w:val="en-US" w:eastAsia="zh-CN"/>
        </w:rPr>
        <w:t>本规范来源于辽宁省市场监督管理局于2020年4月8日下发的《辽</w:t>
      </w:r>
      <w:r>
        <w:rPr>
          <w:rFonts w:hint="default" w:cs="Times New Roman"/>
          <w:sz w:val="28"/>
          <w:szCs w:val="28"/>
          <w:lang w:val="en-US" w:eastAsia="zh-CN"/>
        </w:rPr>
        <w:t>宁省市场监督管理局关于</w:t>
      </w:r>
      <w:r>
        <w:rPr>
          <w:rFonts w:hint="eastAsia" w:cs="Times New Roman"/>
          <w:sz w:val="28"/>
          <w:szCs w:val="28"/>
          <w:lang w:val="en-US" w:eastAsia="zh-CN"/>
        </w:rPr>
        <w:t>对</w:t>
      </w:r>
      <w:r>
        <w:rPr>
          <w:rFonts w:hint="default" w:cs="Times New Roman"/>
          <w:sz w:val="28"/>
          <w:szCs w:val="28"/>
          <w:lang w:val="en-US" w:eastAsia="zh-CN"/>
        </w:rPr>
        <w:t>辽宁省地方标准</w:t>
      </w:r>
      <w:r>
        <w:rPr>
          <w:rFonts w:hint="eastAsia" w:cs="Times New Roman"/>
          <w:sz w:val="28"/>
          <w:szCs w:val="28"/>
          <w:lang w:val="en-US" w:eastAsia="zh-CN"/>
        </w:rPr>
        <w:t>管理办法（2020</w:t>
      </w:r>
      <w:r>
        <w:rPr>
          <w:rFonts w:hint="default" w:cs="Times New Roman"/>
          <w:sz w:val="28"/>
          <w:szCs w:val="28"/>
          <w:lang w:val="en-US" w:eastAsia="zh-CN"/>
        </w:rPr>
        <w:t>年</w:t>
      </w:r>
      <w:r>
        <w:rPr>
          <w:rFonts w:hint="eastAsia" w:cs="Times New Roman"/>
          <w:sz w:val="28"/>
          <w:szCs w:val="28"/>
          <w:lang w:val="en-US" w:eastAsia="zh-CN"/>
        </w:rPr>
        <w:t>版）征求意见</w:t>
      </w:r>
      <w:r>
        <w:rPr>
          <w:rFonts w:hint="default" w:cs="Times New Roman"/>
          <w:sz w:val="28"/>
          <w:szCs w:val="28"/>
          <w:lang w:val="en-US" w:eastAsia="zh-CN"/>
        </w:rPr>
        <w:t>的通知</w:t>
      </w:r>
      <w:r>
        <w:rPr>
          <w:rFonts w:hint="eastAsia" w:cs="Times New Roman"/>
          <w:sz w:val="28"/>
          <w:szCs w:val="28"/>
          <w:lang w:val="en-US" w:eastAsia="zh-CN"/>
        </w:rPr>
        <w:t>》的相关要求。根据《中华人民共和国标准化法》和《地方标准管理办法》〔国家市场监督管理总局令（第26号）〕等有关规定,《游走罐中医护理技术操作规范》（计划编号：</w:t>
      </w:r>
      <w:r>
        <w:rPr>
          <w:rFonts w:hint="eastAsia" w:cs="Times New Roman"/>
          <w:color w:val="auto"/>
          <w:sz w:val="28"/>
          <w:szCs w:val="28"/>
          <w:u w:val="none"/>
          <w:lang w:val="en-US" w:eastAsia="zh-CN"/>
        </w:rPr>
        <w:t>2020225</w:t>
      </w:r>
      <w:r>
        <w:rPr>
          <w:rFonts w:hint="eastAsia" w:cs="Times New Roman"/>
          <w:sz w:val="28"/>
          <w:szCs w:val="28"/>
          <w:lang w:val="en-US" w:eastAsia="zh-CN"/>
        </w:rPr>
        <w:t>）</w:t>
      </w:r>
      <w:r>
        <w:rPr>
          <w:rFonts w:hint="eastAsia" w:cs="Times New Roman"/>
          <w:color w:val="auto"/>
          <w:sz w:val="28"/>
          <w:szCs w:val="28"/>
          <w:lang w:val="en-US" w:eastAsia="zh-CN"/>
        </w:rPr>
        <w:t>于</w:t>
      </w:r>
      <w:r>
        <w:rPr>
          <w:rFonts w:hint="eastAsia" w:cs="Times New Roman"/>
          <w:color w:val="auto"/>
          <w:sz w:val="28"/>
          <w:szCs w:val="28"/>
          <w:u w:val="none"/>
          <w:lang w:val="en-US" w:eastAsia="zh-CN"/>
        </w:rPr>
        <w:t>2020年6月2</w:t>
      </w:r>
      <w:r>
        <w:rPr>
          <w:rFonts w:hint="eastAsia" w:cs="Times New Roman"/>
          <w:sz w:val="28"/>
          <w:szCs w:val="28"/>
          <w:lang w:val="en-US" w:eastAsia="zh-CN"/>
        </w:rPr>
        <w:t>日正式下达编制任务，并依据辽宁省地方监督管理局下发文件开始编写，以下简称《规范》。</w:t>
      </w:r>
    </w:p>
    <w:p>
      <w:pPr>
        <w:pStyle w:val="9"/>
        <w:ind w:left="0" w:leftChars="0" w:firstLine="643" w:firstLineChars="200"/>
        <w:jc w:val="left"/>
        <w:rPr>
          <w:rFonts w:hint="eastAsia" w:ascii="仿宋_GB2312" w:hAnsi="宋体" w:cs="仿宋_GB2312"/>
          <w:lang w:val="en-US" w:eastAsia="zh-CN"/>
        </w:rPr>
      </w:pPr>
      <w:r>
        <w:rPr>
          <w:rFonts w:hint="eastAsia" w:ascii="楷体_GB2312" w:eastAsia="楷体_GB2312"/>
          <w:b/>
          <w:szCs w:val="32"/>
        </w:rPr>
        <w:t>（二）</w:t>
      </w:r>
      <w:r>
        <w:rPr>
          <w:rFonts w:hint="eastAsia" w:ascii="楷体_GB2312" w:eastAsia="楷体_GB2312"/>
          <w:szCs w:val="32"/>
        </w:rPr>
        <w:t>起草单位</w:t>
      </w:r>
    </w:p>
    <w:p>
      <w:pPr>
        <w:ind w:firstLine="560" w:firstLineChars="200"/>
        <w:jc w:val="left"/>
        <w:rPr>
          <w:rFonts w:hint="eastAsia" w:ascii="仿宋_GB2312" w:hAnsi="仿宋_GB2312" w:cs="仿宋_GB2312"/>
          <w:kern w:val="2"/>
          <w:sz w:val="28"/>
          <w:szCs w:val="28"/>
          <w:lang w:val="en-US" w:eastAsia="zh-CN" w:bidi="ar-SA"/>
        </w:rPr>
      </w:pPr>
      <w:r>
        <w:rPr>
          <w:rFonts w:hint="eastAsia" w:cs="Times New Roman"/>
          <w:color w:val="auto"/>
          <w:sz w:val="28"/>
          <w:szCs w:val="28"/>
        </w:rPr>
        <w:t>本规范由辽宁省卫生健康委员会指导，</w:t>
      </w:r>
      <w:r>
        <w:rPr>
          <w:rFonts w:hint="eastAsia" w:cs="Times New Roman"/>
          <w:color w:val="auto"/>
          <w:sz w:val="28"/>
          <w:szCs w:val="28"/>
          <w:lang w:val="en-US" w:eastAsia="zh-CN"/>
        </w:rPr>
        <w:t>由辽宁省护理学会中西医结合护理专业委员会、辽宁省中医药学会护理专业委员会共同起草</w:t>
      </w:r>
      <w:r>
        <w:rPr>
          <w:rFonts w:hint="eastAsia" w:cs="Times New Roman"/>
          <w:color w:val="auto"/>
          <w:sz w:val="28"/>
          <w:szCs w:val="28"/>
          <w:lang w:eastAsia="zh-CN"/>
        </w:rPr>
        <w:t>，</w:t>
      </w:r>
      <w:r>
        <w:rPr>
          <w:rFonts w:hint="eastAsia" w:cs="Times New Roman"/>
          <w:color w:val="auto"/>
          <w:sz w:val="28"/>
          <w:szCs w:val="28"/>
        </w:rPr>
        <w:t>由</w:t>
      </w:r>
      <w:r>
        <w:rPr>
          <w:rFonts w:hint="eastAsia" w:ascii="仿宋_GB2312" w:hAnsi="仿宋_GB2312" w:cs="仿宋_GB2312"/>
          <w:color w:val="auto"/>
          <w:kern w:val="2"/>
          <w:sz w:val="28"/>
          <w:szCs w:val="28"/>
          <w:lang w:val="en-US" w:eastAsia="zh-CN" w:bidi="ar-SA"/>
        </w:rPr>
        <w:t>辽宁中医药大学附属医院</w:t>
      </w:r>
      <w:r>
        <w:rPr>
          <w:rFonts w:hint="eastAsia" w:ascii="仿宋_GB2312"/>
          <w:sz w:val="28"/>
          <w:szCs w:val="28"/>
        </w:rPr>
        <w:t>负责具体实施</w:t>
      </w:r>
      <w:r>
        <w:rPr>
          <w:rFonts w:hint="eastAsia" w:ascii="仿宋_GB2312"/>
          <w:sz w:val="28"/>
          <w:szCs w:val="28"/>
          <w:lang w:eastAsia="zh-CN"/>
        </w:rPr>
        <w:t>，</w:t>
      </w:r>
      <w:r>
        <w:rPr>
          <w:rFonts w:hint="eastAsia" w:ascii="仿宋_GB2312"/>
          <w:sz w:val="28"/>
          <w:szCs w:val="28"/>
        </w:rPr>
        <w:t>辽宁</w:t>
      </w:r>
      <w:r>
        <w:rPr>
          <w:rFonts w:hint="eastAsia" w:ascii="仿宋_GB2312"/>
          <w:sz w:val="28"/>
          <w:szCs w:val="28"/>
          <w:lang w:val="en-US" w:eastAsia="zh-CN"/>
        </w:rPr>
        <w:t>中医药大学附属医院马影蕊主任</w:t>
      </w:r>
      <w:r>
        <w:rPr>
          <w:rFonts w:hint="eastAsia" w:ascii="仿宋_GB2312"/>
          <w:sz w:val="28"/>
          <w:szCs w:val="28"/>
        </w:rPr>
        <w:t>作为顾问对本规范的起草给予了指导和支持。</w:t>
      </w:r>
    </w:p>
    <w:p>
      <w:pPr>
        <w:pStyle w:val="9"/>
        <w:ind w:firstLine="640"/>
        <w:jc w:val="left"/>
        <w:rPr>
          <w:rFonts w:hint="eastAsia" w:ascii="楷体_GB2312" w:eastAsia="楷体_GB2312"/>
          <w:szCs w:val="32"/>
        </w:rPr>
      </w:pPr>
      <w:r>
        <w:rPr>
          <w:rFonts w:hint="eastAsia" w:ascii="楷体_GB2312" w:eastAsia="楷体_GB2312"/>
          <w:szCs w:val="32"/>
        </w:rPr>
        <w:t>（三） 主要起草过程</w:t>
      </w:r>
    </w:p>
    <w:p>
      <w:pPr>
        <w:pStyle w:val="9"/>
        <w:spacing w:line="360" w:lineRule="auto"/>
        <w:ind w:firstLine="560"/>
        <w:rPr>
          <w:rFonts w:hint="eastAsia" w:ascii="仿宋_GB2312" w:hAnsi="仿宋_GB2312" w:cs="仿宋_GB2312"/>
          <w:sz w:val="28"/>
          <w:szCs w:val="28"/>
        </w:rPr>
      </w:pPr>
      <w:r>
        <w:rPr>
          <w:rFonts w:hint="eastAsia" w:ascii="仿宋_GB2312" w:hAnsi="仿宋_GB2312" w:cs="仿宋_GB2312"/>
          <w:sz w:val="28"/>
          <w:szCs w:val="28"/>
        </w:rPr>
        <w:t>1.准备阶段：</w:t>
      </w:r>
      <w:r>
        <w:rPr>
          <w:rFonts w:hint="eastAsia" w:ascii="仿宋_GB2312" w:hAnsi="仿宋_GB2312" w:cs="仿宋_GB2312"/>
          <w:sz w:val="28"/>
          <w:szCs w:val="28"/>
          <w:lang w:val="en-US" w:eastAsia="zh-CN"/>
        </w:rPr>
        <w:t>2020.4.1-2020.6.4</w:t>
      </w:r>
    </w:p>
    <w:p>
      <w:pPr>
        <w:pStyle w:val="9"/>
        <w:spacing w:line="360" w:lineRule="auto"/>
        <w:rPr>
          <w:rFonts w:hint="eastAsia" w:ascii="仿宋_GB2312" w:hAnsi="仿宋_GB2312" w:eastAsia="仿宋_GB2312" w:cs="仿宋_GB2312"/>
          <w:kern w:val="2"/>
          <w:sz w:val="28"/>
          <w:szCs w:val="28"/>
          <w:lang w:val="en-US" w:eastAsia="zh-CN" w:bidi="ar-SA"/>
        </w:rPr>
      </w:pPr>
      <w:bookmarkStart w:id="9" w:name="_GoBack"/>
      <w:bookmarkEnd w:id="9"/>
      <w:r>
        <w:rPr>
          <w:rFonts w:hint="eastAsia" w:ascii="仿宋_GB2312" w:hAnsi="仿宋_GB2312" w:cs="仿宋_GB2312"/>
          <w:kern w:val="2"/>
          <w:sz w:val="28"/>
          <w:szCs w:val="28"/>
          <w:lang w:val="en-US" w:eastAsia="zh-CN" w:bidi="ar-SA"/>
        </w:rPr>
        <w:t>本规范由辽宁中医药</w:t>
      </w:r>
      <w:r>
        <w:rPr>
          <w:rFonts w:hint="eastAsia" w:ascii="仿宋_GB2312" w:hAnsi="仿宋_GB2312" w:cs="仿宋_GB2312"/>
          <w:color w:val="auto"/>
          <w:kern w:val="2"/>
          <w:sz w:val="28"/>
          <w:szCs w:val="28"/>
          <w:lang w:val="en-US" w:eastAsia="zh-CN" w:bidi="ar-SA"/>
        </w:rPr>
        <w:t>大学</w:t>
      </w:r>
      <w:r>
        <w:rPr>
          <w:rFonts w:hint="eastAsia" w:ascii="仿宋_GB2312" w:hAnsi="仿宋_GB2312" w:cs="仿宋_GB2312"/>
          <w:kern w:val="2"/>
          <w:sz w:val="28"/>
          <w:szCs w:val="28"/>
          <w:lang w:val="en-US" w:eastAsia="zh-CN" w:bidi="ar-SA"/>
        </w:rPr>
        <w:t>附属医院干诊/老年医学科芦霜护士长</w:t>
      </w:r>
      <w:r>
        <w:rPr>
          <w:rFonts w:hint="eastAsia" w:ascii="仿宋_GB2312" w:hAnsi="仿宋_GB2312" w:eastAsia="仿宋_GB2312" w:cs="仿宋_GB2312"/>
          <w:kern w:val="2"/>
          <w:sz w:val="28"/>
          <w:szCs w:val="28"/>
          <w:lang w:val="en-US" w:eastAsia="zh-CN" w:bidi="ar-SA"/>
        </w:rPr>
        <w:t>为主要负责人，负责项目整体</w:t>
      </w:r>
      <w:r>
        <w:rPr>
          <w:rFonts w:hint="eastAsia" w:ascii="仿宋_GB2312" w:hAnsi="仿宋_GB2312" w:cs="仿宋_GB2312"/>
          <w:kern w:val="2"/>
          <w:sz w:val="28"/>
          <w:szCs w:val="28"/>
          <w:lang w:val="en-US" w:eastAsia="zh-CN" w:bidi="ar-SA"/>
        </w:rPr>
        <w:t>流程的规划</w:t>
      </w:r>
      <w:r>
        <w:rPr>
          <w:rFonts w:hint="eastAsia" w:ascii="仿宋_GB2312" w:hAnsi="仿宋_GB2312" w:eastAsia="仿宋_GB2312" w:cs="仿宋_GB2312"/>
          <w:kern w:val="2"/>
          <w:sz w:val="28"/>
          <w:szCs w:val="28"/>
          <w:lang w:val="en-US" w:eastAsia="zh-CN" w:bidi="ar-SA"/>
        </w:rPr>
        <w:t>及</w:t>
      </w:r>
      <w:r>
        <w:rPr>
          <w:rFonts w:hint="eastAsia" w:ascii="仿宋_GB2312" w:hAnsi="仿宋_GB2312" w:cs="仿宋_GB2312"/>
          <w:kern w:val="2"/>
          <w:sz w:val="28"/>
          <w:szCs w:val="28"/>
          <w:lang w:val="en-US" w:eastAsia="zh-CN" w:bidi="ar-SA"/>
        </w:rPr>
        <w:t>各环节进展</w:t>
      </w:r>
      <w:r>
        <w:rPr>
          <w:rFonts w:hint="eastAsia" w:ascii="仿宋_GB2312" w:hAnsi="仿宋_GB2312" w:eastAsia="仿宋_GB2312" w:cs="仿宋_GB2312"/>
          <w:kern w:val="2"/>
          <w:sz w:val="28"/>
          <w:szCs w:val="28"/>
          <w:lang w:val="en-US" w:eastAsia="zh-CN" w:bidi="ar-SA"/>
        </w:rPr>
        <w:t>的</w:t>
      </w:r>
      <w:r>
        <w:rPr>
          <w:rFonts w:hint="eastAsia" w:ascii="仿宋_GB2312" w:hAnsi="仿宋_GB2312" w:cs="仿宋_GB2312"/>
          <w:kern w:val="2"/>
          <w:sz w:val="28"/>
          <w:szCs w:val="28"/>
          <w:lang w:val="en-US" w:eastAsia="zh-CN" w:bidi="ar-SA"/>
        </w:rPr>
        <w:t>控制，</w:t>
      </w:r>
      <w:r>
        <w:rPr>
          <w:rFonts w:hint="eastAsia" w:ascii="仿宋_GB2312" w:hAnsi="仿宋_GB2312" w:cs="仿宋_GB2312"/>
          <w:sz w:val="28"/>
          <w:szCs w:val="28"/>
        </w:rPr>
        <w:t>通过微信平台在起草小组内开展起草前培训，</w:t>
      </w:r>
      <w:r>
        <w:rPr>
          <w:rFonts w:hint="eastAsia" w:ascii="仿宋_GB2312" w:hAnsi="仿宋_GB2312" w:cs="仿宋_GB2312"/>
          <w:sz w:val="28"/>
          <w:szCs w:val="28"/>
          <w:lang w:val="en-US" w:eastAsia="zh-CN"/>
        </w:rPr>
        <w:t>规范</w:t>
      </w:r>
      <w:r>
        <w:rPr>
          <w:rFonts w:hint="eastAsia" w:ascii="仿宋_GB2312" w:hAnsi="仿宋_GB2312" w:cs="仿宋_GB2312"/>
          <w:sz w:val="28"/>
          <w:szCs w:val="28"/>
        </w:rPr>
        <w:t>起草工作组成员认真学习了</w:t>
      </w:r>
      <w:r>
        <w:rPr>
          <w:rFonts w:hint="eastAsia" w:ascii="仿宋_GB2312" w:hAnsi="仿宋_GB2312" w:cs="仿宋_GB2312"/>
          <w:sz w:val="28"/>
          <w:szCs w:val="28"/>
          <w:lang w:val="en-US" w:eastAsia="zh-CN"/>
        </w:rPr>
        <w:t>辽宁省地方标准管理办法（2020年版）</w:t>
      </w:r>
      <w:r>
        <w:rPr>
          <w:rFonts w:hint="eastAsia" w:ascii="仿宋_GB2312" w:hAnsi="仿宋_GB2312" w:cs="仿宋_GB2312"/>
          <w:sz w:val="28"/>
          <w:szCs w:val="28"/>
        </w:rPr>
        <w:t>，就</w:t>
      </w:r>
      <w:r>
        <w:rPr>
          <w:rFonts w:hint="eastAsia" w:ascii="仿宋_GB2312" w:hAnsi="仿宋_GB2312" w:cs="仿宋_GB2312"/>
          <w:sz w:val="28"/>
          <w:szCs w:val="28"/>
          <w:lang w:val="en-US" w:eastAsia="zh-CN"/>
        </w:rPr>
        <w:t>规范</w:t>
      </w:r>
      <w:r>
        <w:rPr>
          <w:rFonts w:hint="eastAsia" w:ascii="仿宋_GB2312" w:hAnsi="仿宋_GB2312" w:cs="仿宋_GB2312"/>
          <w:sz w:val="28"/>
          <w:szCs w:val="28"/>
        </w:rPr>
        <w:t>制定工作的各个环节进行了探讨和研究。</w:t>
      </w:r>
      <w:r>
        <w:rPr>
          <w:rFonts w:hint="eastAsia" w:ascii="仿宋_GB2312" w:hAnsi="仿宋_GB2312" w:cs="仿宋_GB2312"/>
          <w:sz w:val="28"/>
          <w:szCs w:val="28"/>
          <w:lang w:val="en-US" w:eastAsia="zh-CN"/>
        </w:rPr>
        <w:t>项目负责人芦霜</w:t>
      </w:r>
      <w:r>
        <w:rPr>
          <w:rFonts w:hint="eastAsia" w:ascii="仿宋_GB2312" w:hAnsi="仿宋_GB2312" w:cs="仿宋_GB2312"/>
          <w:sz w:val="28"/>
          <w:szCs w:val="28"/>
        </w:rPr>
        <w:t>通过微信和电话联系已开展</w:t>
      </w:r>
      <w:r>
        <w:rPr>
          <w:rFonts w:hint="eastAsia" w:ascii="仿宋_GB2312" w:hAnsi="仿宋_GB2312" w:cs="仿宋_GB2312"/>
          <w:sz w:val="28"/>
          <w:szCs w:val="28"/>
          <w:lang w:val="en-US" w:eastAsia="zh-CN"/>
        </w:rPr>
        <w:t>游走罐中医护理技术的单位中</w:t>
      </w:r>
      <w:r>
        <w:rPr>
          <w:rFonts w:hint="eastAsia" w:ascii="仿宋_GB2312" w:hAnsi="仿宋_GB2312" w:cs="仿宋_GB2312"/>
          <w:sz w:val="28"/>
          <w:szCs w:val="28"/>
        </w:rPr>
        <w:t>有一定经验的专家，本着自愿的原则，最终遴选</w:t>
      </w:r>
      <w:r>
        <w:rPr>
          <w:rFonts w:hint="eastAsia" w:ascii="仿宋_GB2312" w:hAnsi="仿宋_GB2312" w:cs="仿宋_GB2312"/>
          <w:color w:val="auto"/>
          <w:sz w:val="28"/>
          <w:szCs w:val="28"/>
        </w:rPr>
        <w:t>出</w:t>
      </w:r>
      <w:r>
        <w:rPr>
          <w:rFonts w:hint="eastAsia" w:ascii="仿宋_GB2312" w:hAnsi="仿宋_GB2312" w:cs="仿宋_GB2312"/>
          <w:color w:val="auto"/>
          <w:sz w:val="28"/>
          <w:szCs w:val="28"/>
          <w:lang w:val="en-US" w:eastAsia="zh-CN"/>
        </w:rPr>
        <w:t>20</w:t>
      </w:r>
      <w:r>
        <w:rPr>
          <w:rFonts w:hint="eastAsia" w:ascii="仿宋_GB2312" w:hAnsi="仿宋_GB2312" w:cs="仿宋_GB2312"/>
          <w:sz w:val="28"/>
          <w:szCs w:val="28"/>
        </w:rPr>
        <w:t>名专家。</w:t>
      </w:r>
      <w:r>
        <w:rPr>
          <w:rFonts w:hint="eastAsia" w:ascii="仿宋_GB2312" w:hAnsi="仿宋_GB2312" w:eastAsia="仿宋_GB2312" w:cs="仿宋_GB2312"/>
          <w:kern w:val="2"/>
          <w:sz w:val="28"/>
          <w:szCs w:val="28"/>
          <w:lang w:val="en-US" w:eastAsia="zh-CN" w:bidi="ar-SA"/>
        </w:rPr>
        <w:t>由</w:t>
      </w:r>
      <w:r>
        <w:rPr>
          <w:rFonts w:hint="eastAsia" w:ascii="仿宋_GB2312" w:hAnsi="仿宋_GB2312" w:cs="仿宋_GB2312"/>
          <w:color w:val="auto"/>
          <w:kern w:val="2"/>
          <w:sz w:val="28"/>
          <w:szCs w:val="28"/>
          <w:u w:val="none"/>
          <w:lang w:val="en-US" w:eastAsia="zh-CN" w:bidi="ar-SA"/>
        </w:rPr>
        <w:t>辽宁中医药大学附属医院</w:t>
      </w:r>
      <w:r>
        <w:rPr>
          <w:rFonts w:hint="eastAsia" w:ascii="仿宋_GB2312" w:hAnsi="仿宋_GB2312" w:cs="仿宋_GB2312"/>
          <w:color w:val="auto"/>
          <w:kern w:val="2"/>
          <w:sz w:val="28"/>
          <w:szCs w:val="28"/>
          <w:lang w:val="en-US" w:eastAsia="zh-CN" w:bidi="ar-SA"/>
        </w:rPr>
        <w:t>干诊/老年医学科</w:t>
      </w:r>
      <w:r>
        <w:rPr>
          <w:rFonts w:hint="eastAsia" w:ascii="仿宋_GB2312" w:hAnsi="仿宋_GB2312" w:cs="仿宋_GB2312"/>
          <w:color w:val="auto"/>
          <w:kern w:val="2"/>
          <w:sz w:val="28"/>
          <w:szCs w:val="28"/>
          <w:u w:val="none"/>
          <w:lang w:val="en-US" w:eastAsia="zh-CN" w:bidi="ar-SA"/>
        </w:rPr>
        <w:t>韩晴</w:t>
      </w:r>
      <w:r>
        <w:rPr>
          <w:rFonts w:hint="eastAsia" w:ascii="仿宋_GB2312" w:hAnsi="仿宋_GB2312" w:eastAsia="仿宋_GB2312" w:cs="仿宋_GB2312"/>
          <w:kern w:val="2"/>
          <w:sz w:val="28"/>
          <w:szCs w:val="28"/>
          <w:lang w:val="en-US" w:eastAsia="zh-CN" w:bidi="ar-SA"/>
        </w:rPr>
        <w:t>为科研秘书，负责研究过程中质量的控制，</w:t>
      </w:r>
      <w:r>
        <w:rPr>
          <w:rFonts w:hint="eastAsia" w:ascii="仿宋_GB2312" w:hAnsi="仿宋_GB2312" w:cs="仿宋_GB2312"/>
          <w:kern w:val="2"/>
          <w:sz w:val="28"/>
          <w:szCs w:val="28"/>
          <w:lang w:val="en-US" w:eastAsia="zh-CN" w:bidi="ar-SA"/>
        </w:rPr>
        <w:t>规范编制小组其他成员负责联络</w:t>
      </w:r>
      <w:r>
        <w:rPr>
          <w:rFonts w:hint="eastAsia" w:ascii="仿宋_GB2312" w:hAnsi="仿宋_GB2312" w:eastAsia="仿宋_GB2312" w:cs="仿宋_GB2312"/>
          <w:color w:val="auto"/>
          <w:kern w:val="2"/>
          <w:sz w:val="28"/>
          <w:szCs w:val="28"/>
          <w:u w:val="none"/>
          <w:lang w:val="en-US" w:eastAsia="zh-CN" w:bidi="ar-SA"/>
        </w:rPr>
        <w:t>1</w:t>
      </w:r>
      <w:r>
        <w:rPr>
          <w:rFonts w:hint="eastAsia" w:ascii="仿宋_GB2312" w:hAnsi="仿宋_GB2312" w:cs="仿宋_GB2312"/>
          <w:color w:val="auto"/>
          <w:kern w:val="2"/>
          <w:sz w:val="28"/>
          <w:szCs w:val="28"/>
          <w:u w:val="none"/>
          <w:lang w:val="en-US" w:eastAsia="zh-CN" w:bidi="ar-SA"/>
        </w:rPr>
        <w:t>4</w:t>
      </w:r>
      <w:r>
        <w:rPr>
          <w:rFonts w:hint="eastAsia" w:ascii="仿宋_GB2312" w:hAnsi="仿宋_GB2312" w:eastAsia="仿宋_GB2312" w:cs="仿宋_GB2312"/>
          <w:kern w:val="2"/>
          <w:sz w:val="28"/>
          <w:szCs w:val="28"/>
          <w:lang w:val="en-US" w:eastAsia="zh-CN" w:bidi="ar-SA"/>
        </w:rPr>
        <w:t>家中医院收集材料，临床调研等实施工作。</w:t>
      </w:r>
    </w:p>
    <w:p>
      <w:pPr>
        <w:pStyle w:val="9"/>
        <w:numPr>
          <w:ilvl w:val="0"/>
          <w:numId w:val="0"/>
        </w:numPr>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2.</w:t>
      </w:r>
      <w:r>
        <w:rPr>
          <w:rFonts w:hint="eastAsia" w:ascii="仿宋_GB2312" w:hAnsi="仿宋_GB2312" w:cs="仿宋_GB2312"/>
          <w:sz w:val="28"/>
          <w:szCs w:val="28"/>
        </w:rPr>
        <w:t>撰写阶段：</w:t>
      </w:r>
      <w:r>
        <w:rPr>
          <w:rFonts w:hint="eastAsia" w:ascii="仿宋_GB2312" w:hAnsi="仿宋_GB2312" w:cs="仿宋_GB2312"/>
          <w:sz w:val="28"/>
          <w:szCs w:val="28"/>
          <w:lang w:val="en-US" w:eastAsia="zh-CN"/>
        </w:rPr>
        <w:t>2020.6.5-2021.2.28</w:t>
      </w:r>
    </w:p>
    <w:p>
      <w:pPr>
        <w:spacing w:line="360" w:lineRule="auto"/>
        <w:ind w:firstLine="560" w:firstLineChars="200"/>
        <w:outlineLvl w:val="0"/>
        <w:rPr>
          <w:rFonts w:hint="eastAsia" w:ascii="仿宋_GB2312" w:hAnsi="仿宋_GB2312" w:cs="仿宋_GB2312"/>
          <w:sz w:val="28"/>
          <w:szCs w:val="28"/>
          <w:highlight w:val="none"/>
        </w:rPr>
      </w:pPr>
      <w:r>
        <w:rPr>
          <w:rFonts w:hint="eastAsia" w:ascii="仿宋_GB2312" w:hAnsi="仿宋_GB2312" w:cs="仿宋_GB2312"/>
          <w:kern w:val="2"/>
          <w:sz w:val="28"/>
          <w:szCs w:val="28"/>
          <w:lang w:val="en-US" w:eastAsia="zh-CN" w:bidi="ar-SA"/>
        </w:rPr>
        <w:t>规范制定小</w:t>
      </w:r>
      <w:r>
        <w:rPr>
          <w:rFonts w:hint="eastAsia" w:ascii="仿宋_GB2312" w:hAnsi="仿宋_GB2312" w:eastAsia="仿宋_GB2312" w:cs="仿宋_GB2312"/>
          <w:kern w:val="2"/>
          <w:sz w:val="28"/>
          <w:szCs w:val="28"/>
          <w:lang w:val="en-US" w:eastAsia="zh-CN" w:bidi="ar-SA"/>
        </w:rPr>
        <w:t>组成员以《针灸技术操作规范</w:t>
      </w:r>
      <w:r>
        <w:rPr>
          <w:rFonts w:hint="eastAsia" w:ascii="仿宋_GB2312" w:hAnsi="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t>第5部分：拔罐》为基础，根据全省中医技术项目调研结果，首先进行文献检索，查阅《中医护理常规技术操作规程》</w:t>
      </w:r>
      <w:r>
        <w:rPr>
          <w:rFonts w:hint="default" w:ascii="仿宋_GB2312" w:hAnsi="仿宋_GB2312" w:eastAsia="仿宋_GB2312" w:cs="仿宋_GB2312"/>
          <w:kern w:val="2"/>
          <w:sz w:val="28"/>
          <w:szCs w:val="28"/>
          <w:lang w:val="en-US" w:eastAsia="zh-CN" w:bidi="ar-SA"/>
        </w:rPr>
        <w:t>《护理人员中医技术使用手册》</w:t>
      </w:r>
      <w:r>
        <w:rPr>
          <w:rFonts w:hint="eastAsia" w:ascii="仿宋_GB2312" w:hAnsi="仿宋_GB2312" w:eastAsia="仿宋_GB2312" w:cs="仿宋_GB2312"/>
          <w:kern w:val="2"/>
          <w:sz w:val="28"/>
          <w:szCs w:val="28"/>
          <w:lang w:val="en-US" w:eastAsia="zh-CN" w:bidi="ar-SA"/>
        </w:rPr>
        <w:t>《医疗机构消毒技术规范》等专业书籍，并召集项目组小组成员召开讨论会。要求围绕以下问题进行讨论：①</w:t>
      </w:r>
      <w:r>
        <w:rPr>
          <w:rFonts w:hint="eastAsia" w:ascii="仿宋_GB2312" w:hAnsi="仿宋_GB2312" w:cs="仿宋_GB2312"/>
          <w:kern w:val="2"/>
          <w:sz w:val="28"/>
          <w:szCs w:val="28"/>
          <w:lang w:val="en-US" w:eastAsia="zh-CN" w:bidi="ar-SA"/>
        </w:rPr>
        <w:t>本</w:t>
      </w:r>
      <w:r>
        <w:rPr>
          <w:rFonts w:hint="eastAsia" w:ascii="仿宋_GB2312" w:hAnsi="仿宋_GB2312" w:cs="仿宋_GB2312"/>
          <w:kern w:val="2"/>
          <w:sz w:val="28"/>
          <w:szCs w:val="28"/>
          <w:highlight w:val="none"/>
          <w:lang w:val="en-US" w:eastAsia="zh-CN" w:bidi="ar-SA"/>
        </w:rPr>
        <w:t>规范</w:t>
      </w:r>
      <w:r>
        <w:rPr>
          <w:rFonts w:hint="eastAsia" w:ascii="仿宋_GB2312" w:hAnsi="仿宋_GB2312" w:eastAsia="仿宋_GB2312" w:cs="仿宋_GB2312"/>
          <w:kern w:val="2"/>
          <w:sz w:val="28"/>
          <w:szCs w:val="28"/>
          <w:highlight w:val="none"/>
          <w:lang w:val="en-US" w:eastAsia="zh-CN" w:bidi="ar-SA"/>
        </w:rPr>
        <w:t>标准</w:t>
      </w:r>
      <w:r>
        <w:rPr>
          <w:rFonts w:hint="eastAsia" w:ascii="仿宋_GB2312" w:hAnsi="仿宋_GB2312" w:cs="仿宋_GB2312"/>
          <w:kern w:val="2"/>
          <w:sz w:val="28"/>
          <w:szCs w:val="28"/>
          <w:highlight w:val="none"/>
          <w:lang w:val="en-US" w:eastAsia="zh-CN" w:bidi="ar-SA"/>
        </w:rPr>
        <w:t>的</w:t>
      </w:r>
      <w:r>
        <w:rPr>
          <w:rFonts w:hint="eastAsia" w:ascii="仿宋_GB2312" w:hAnsi="仿宋_GB2312" w:eastAsia="仿宋_GB2312" w:cs="仿宋_GB2312"/>
          <w:kern w:val="2"/>
          <w:sz w:val="28"/>
          <w:szCs w:val="28"/>
          <w:highlight w:val="none"/>
          <w:lang w:val="en-US" w:eastAsia="zh-CN" w:bidi="ar-SA"/>
        </w:rPr>
        <w:t>条目及</w:t>
      </w:r>
      <w:r>
        <w:rPr>
          <w:rFonts w:hint="eastAsia" w:ascii="仿宋_GB2312" w:hAnsi="仿宋_GB2312" w:cs="仿宋_GB2312"/>
          <w:kern w:val="2"/>
          <w:sz w:val="28"/>
          <w:szCs w:val="28"/>
          <w:highlight w:val="none"/>
          <w:lang w:val="en-US" w:eastAsia="zh-CN" w:bidi="ar-SA"/>
        </w:rPr>
        <w:t>主要内容；</w:t>
      </w:r>
      <w:r>
        <w:rPr>
          <w:rFonts w:hint="eastAsia" w:ascii="仿宋_GB2312" w:hAnsi="仿宋_GB2312" w:eastAsia="仿宋_GB2312" w:cs="仿宋_GB2312"/>
          <w:kern w:val="2"/>
          <w:sz w:val="28"/>
          <w:szCs w:val="28"/>
          <w:highlight w:val="none"/>
          <w:lang w:val="en-US" w:eastAsia="zh-CN" w:bidi="ar-SA"/>
        </w:rPr>
        <w:t>②</w:t>
      </w:r>
      <w:r>
        <w:rPr>
          <w:rFonts w:hint="eastAsia" w:ascii="仿宋_GB2312" w:hAnsi="仿宋_GB2312" w:cs="仿宋_GB2312"/>
          <w:kern w:val="2"/>
          <w:sz w:val="28"/>
          <w:szCs w:val="28"/>
          <w:highlight w:val="none"/>
          <w:lang w:val="en-US" w:eastAsia="zh-CN" w:bidi="ar-SA"/>
        </w:rPr>
        <w:t>规范撰写分工</w:t>
      </w:r>
      <w:r>
        <w:rPr>
          <w:rFonts w:hint="eastAsia" w:ascii="仿宋_GB2312" w:hAnsi="仿宋_GB2312" w:eastAsia="仿宋_GB2312" w:cs="仿宋_GB2312"/>
          <w:kern w:val="2"/>
          <w:sz w:val="28"/>
          <w:szCs w:val="28"/>
          <w:highlight w:val="none"/>
          <w:lang w:val="en-US" w:eastAsia="zh-CN" w:bidi="ar-SA"/>
        </w:rPr>
        <w:t>。</w:t>
      </w:r>
      <w:r>
        <w:rPr>
          <w:rFonts w:hint="eastAsia" w:ascii="仿宋_GB2312" w:hAnsi="仿宋_GB2312" w:cs="仿宋_GB2312"/>
          <w:sz w:val="28"/>
          <w:szCs w:val="28"/>
          <w:highlight w:val="none"/>
        </w:rPr>
        <w:t>自20</w:t>
      </w:r>
      <w:r>
        <w:rPr>
          <w:rFonts w:hint="eastAsia" w:ascii="仿宋_GB2312" w:hAnsi="仿宋_GB2312" w:cs="仿宋_GB2312"/>
          <w:sz w:val="28"/>
          <w:szCs w:val="28"/>
          <w:highlight w:val="none"/>
          <w:lang w:val="en-US" w:eastAsia="zh-CN"/>
        </w:rPr>
        <w:t>20</w:t>
      </w:r>
      <w:r>
        <w:rPr>
          <w:rFonts w:hint="eastAsia" w:ascii="仿宋_GB2312" w:hAnsi="仿宋_GB2312" w:cs="仿宋_GB2312"/>
          <w:sz w:val="28"/>
          <w:szCs w:val="28"/>
          <w:highlight w:val="none"/>
        </w:rPr>
        <w:t>年</w:t>
      </w:r>
      <w:r>
        <w:rPr>
          <w:rFonts w:hint="eastAsia" w:ascii="仿宋_GB2312" w:hAnsi="仿宋_GB2312" w:cs="仿宋_GB2312"/>
          <w:sz w:val="28"/>
          <w:szCs w:val="28"/>
          <w:highlight w:val="none"/>
          <w:lang w:val="en-US" w:eastAsia="zh-CN"/>
        </w:rPr>
        <w:t>6</w:t>
      </w:r>
      <w:r>
        <w:rPr>
          <w:rFonts w:hint="eastAsia" w:ascii="仿宋_GB2312" w:hAnsi="仿宋_GB2312" w:cs="仿宋_GB2312"/>
          <w:sz w:val="28"/>
          <w:szCs w:val="28"/>
          <w:highlight w:val="none"/>
        </w:rPr>
        <w:t>月开始撰写规范，撰写单位和人员包括：</w:t>
      </w:r>
      <w:r>
        <w:rPr>
          <w:rFonts w:hint="eastAsia" w:cs="Times New Roman"/>
          <w:color w:val="auto"/>
          <w:sz w:val="28"/>
          <w:szCs w:val="28"/>
          <w:highlight w:val="none"/>
          <w:u w:val="none"/>
          <w:lang w:val="en-US" w:eastAsia="zh-CN"/>
        </w:rPr>
        <w:t>辽宁省护理学会中西医结合</w:t>
      </w:r>
      <w:r>
        <w:rPr>
          <w:rFonts w:hint="eastAsia" w:cs="Times New Roman"/>
          <w:color w:val="auto"/>
          <w:sz w:val="28"/>
          <w:szCs w:val="28"/>
          <w:u w:val="none"/>
          <w:lang w:val="en-US" w:eastAsia="zh-CN"/>
        </w:rPr>
        <w:t>护理学会主任委员、辽宁省中医药学会护理专业学会主任委员、辽宁省中医护理培训基地、辽宁省护理质量控制中心、辽宁中医药大学附属医院马影蕊主任、张晓军副主任、</w:t>
      </w:r>
      <w:r>
        <w:rPr>
          <w:rFonts w:hint="eastAsia" w:cs="Times New Roman"/>
          <w:color w:val="auto"/>
          <w:sz w:val="28"/>
          <w:szCs w:val="28"/>
          <w:highlight w:val="none"/>
          <w:u w:val="none"/>
          <w:lang w:val="en-US" w:eastAsia="zh-CN"/>
        </w:rPr>
        <w:t>张泽主任医师</w:t>
      </w:r>
      <w:r>
        <w:rPr>
          <w:rFonts w:hint="eastAsia" w:cs="Times New Roman"/>
          <w:color w:val="auto"/>
          <w:sz w:val="28"/>
          <w:szCs w:val="28"/>
          <w:u w:val="none"/>
          <w:lang w:val="en-US" w:eastAsia="zh-CN"/>
        </w:rPr>
        <w:t>、卢军副主任药师、费秋红副主任护师、韩晴主管护师、杨楠主管护师、王姝媛主管护师</w:t>
      </w:r>
      <w:r>
        <w:rPr>
          <w:rFonts w:hint="eastAsia" w:cs="Times New Roman"/>
          <w:sz w:val="28"/>
          <w:szCs w:val="28"/>
          <w:u w:val="none"/>
          <w:lang w:val="en-US" w:eastAsia="zh-CN"/>
        </w:rPr>
        <w:t>。</w:t>
      </w:r>
      <w:r>
        <w:rPr>
          <w:rFonts w:hint="eastAsia" w:cs="Times New Roman"/>
          <w:sz w:val="28"/>
          <w:szCs w:val="28"/>
          <w:lang w:val="en-US" w:eastAsia="zh-CN"/>
        </w:rPr>
        <w:t>标准制定小组成员在撰写过程中通过E-mail及电话沟通模式分别与辽宁省各地域专家进行探讨，包括：</w:t>
      </w:r>
      <w:r>
        <w:rPr>
          <w:rFonts w:hint="eastAsia" w:cs="Times New Roman"/>
          <w:color w:val="auto"/>
          <w:sz w:val="28"/>
          <w:szCs w:val="28"/>
          <w:lang w:val="en-US" w:eastAsia="zh-CN"/>
        </w:rPr>
        <w:t>辽宁中医药大学附属第三医院陶凤杰主任、大连市中医院沈桐主任、沈阳市中西医结合医院代璐主任、沈阳市中医院刘兴颖主任、辽宁中医药大学孟健、辽宁省标准化研究院王丽华、黑龙江中医药大学附属第一医院王东梅主任、辽宁中医药大学王野、长春中医药大学周秀玲主任、辽宁中医药大学朱江主任、中国医科大学附属第一医院张军主任、辽宁中医药大学张宁苏、辽宁中医药大学护理学院郑方遒、大连医科大学附属第二医院张建华主任、辽宁中医药大学于睿处长、锦州市中医院蒋威主任、抚顺市中医院邹晓峰主任、阜新市中医院周艳主任、本溪市中医院于美玲主任、鞍山市中医院王</w:t>
      </w:r>
      <w:r>
        <w:rPr>
          <w:rFonts w:hint="eastAsia" w:cs="Times New Roman"/>
          <w:color w:val="auto"/>
          <w:sz w:val="28"/>
          <w:szCs w:val="28"/>
          <w:highlight w:val="none"/>
          <w:lang w:val="en-US" w:eastAsia="zh-CN"/>
        </w:rPr>
        <w:t>达明主任。</w:t>
      </w:r>
      <w:r>
        <w:rPr>
          <w:rFonts w:hint="eastAsia" w:ascii="仿宋_GB2312" w:hAnsi="仿宋_GB2312" w:cs="仿宋_GB2312"/>
          <w:sz w:val="28"/>
          <w:szCs w:val="28"/>
          <w:highlight w:val="none"/>
        </w:rPr>
        <w:t>规范的内容由</w:t>
      </w:r>
      <w:r>
        <w:rPr>
          <w:rFonts w:hint="eastAsia" w:ascii="仿宋_GB2312" w:hAnsi="仿宋_GB2312" w:cs="仿宋_GB2312"/>
          <w:sz w:val="28"/>
          <w:szCs w:val="28"/>
          <w:highlight w:val="none"/>
          <w:lang w:val="en-US" w:eastAsia="zh-CN"/>
        </w:rPr>
        <w:t>负责人芦霜</w:t>
      </w:r>
      <w:r>
        <w:rPr>
          <w:rFonts w:hint="eastAsia" w:ascii="仿宋_GB2312" w:hAnsi="仿宋_GB2312" w:cs="仿宋_GB2312"/>
          <w:sz w:val="28"/>
          <w:szCs w:val="28"/>
          <w:highlight w:val="none"/>
        </w:rPr>
        <w:t>统一</w:t>
      </w:r>
      <w:r>
        <w:rPr>
          <w:rFonts w:hint="eastAsia" w:ascii="仿宋_GB2312" w:hAnsi="仿宋_GB2312" w:cs="仿宋_GB2312"/>
          <w:sz w:val="28"/>
          <w:szCs w:val="28"/>
          <w:highlight w:val="none"/>
          <w:lang w:val="en-US" w:eastAsia="zh-CN"/>
        </w:rPr>
        <w:t>审核后进行汇总</w:t>
      </w:r>
      <w:r>
        <w:rPr>
          <w:rFonts w:hint="eastAsia" w:ascii="仿宋_GB2312" w:hAnsi="仿宋_GB2312" w:cs="仿宋_GB2312"/>
          <w:sz w:val="28"/>
          <w:szCs w:val="28"/>
          <w:highlight w:val="none"/>
        </w:rPr>
        <w:t>，于202</w:t>
      </w:r>
      <w:r>
        <w:rPr>
          <w:rFonts w:hint="eastAsia" w:ascii="仿宋_GB2312" w:hAnsi="仿宋_GB2312" w:cs="仿宋_GB2312"/>
          <w:sz w:val="28"/>
          <w:szCs w:val="28"/>
          <w:highlight w:val="none"/>
          <w:lang w:val="en-US" w:eastAsia="zh-CN"/>
        </w:rPr>
        <w:t>1</w:t>
      </w:r>
      <w:r>
        <w:rPr>
          <w:rFonts w:hint="eastAsia" w:ascii="仿宋_GB2312" w:hAnsi="仿宋_GB2312" w:cs="仿宋_GB2312"/>
          <w:sz w:val="28"/>
          <w:szCs w:val="28"/>
          <w:highlight w:val="none"/>
        </w:rPr>
        <w:t>年</w:t>
      </w:r>
      <w:r>
        <w:rPr>
          <w:rFonts w:hint="eastAsia" w:ascii="仿宋_GB2312" w:hAnsi="仿宋_GB2312" w:cs="仿宋_GB2312"/>
          <w:sz w:val="28"/>
          <w:szCs w:val="28"/>
          <w:highlight w:val="none"/>
          <w:lang w:val="en-US" w:eastAsia="zh-CN"/>
        </w:rPr>
        <w:t>2</w:t>
      </w:r>
      <w:r>
        <w:rPr>
          <w:rFonts w:hint="eastAsia" w:ascii="仿宋_GB2312" w:hAnsi="仿宋_GB2312" w:cs="仿宋_GB2312"/>
          <w:sz w:val="28"/>
          <w:szCs w:val="28"/>
          <w:highlight w:val="none"/>
        </w:rPr>
        <w:t>月</w:t>
      </w:r>
      <w:r>
        <w:rPr>
          <w:rFonts w:hint="eastAsia" w:ascii="仿宋_GB2312" w:hAnsi="仿宋_GB2312" w:cs="仿宋_GB2312"/>
          <w:sz w:val="28"/>
          <w:szCs w:val="28"/>
          <w:highlight w:val="none"/>
          <w:lang w:val="en-US" w:eastAsia="zh-CN"/>
        </w:rPr>
        <w:t>底</w:t>
      </w:r>
      <w:r>
        <w:rPr>
          <w:rFonts w:hint="eastAsia" w:ascii="仿宋_GB2312" w:hAnsi="仿宋_GB2312" w:cs="仿宋_GB2312"/>
          <w:sz w:val="28"/>
          <w:szCs w:val="28"/>
          <w:highlight w:val="none"/>
        </w:rPr>
        <w:t>完成初稿。</w:t>
      </w:r>
    </w:p>
    <w:p>
      <w:pPr>
        <w:ind w:firstLine="560" w:firstLineChars="200"/>
        <w:jc w:val="left"/>
        <w:rPr>
          <w:rFonts w:hint="eastAsia" w:ascii="仿宋_GB2312" w:hAnsi="仿宋_GB2312" w:cs="仿宋_GB2312"/>
          <w:sz w:val="28"/>
          <w:szCs w:val="28"/>
          <w:highlight w:val="none"/>
        </w:rPr>
      </w:pPr>
      <w:r>
        <w:rPr>
          <w:rFonts w:hint="eastAsia" w:ascii="仿宋_GB2312" w:hAnsi="仿宋_GB2312" w:cs="仿宋_GB2312"/>
          <w:sz w:val="28"/>
          <w:szCs w:val="28"/>
          <w:highlight w:val="none"/>
          <w:lang w:val="en-US" w:eastAsia="zh-CN"/>
        </w:rPr>
        <w:t>3.</w:t>
      </w:r>
      <w:r>
        <w:rPr>
          <w:rFonts w:hint="eastAsia" w:ascii="仿宋_GB2312" w:hAnsi="仿宋_GB2312" w:cs="仿宋_GB2312"/>
          <w:sz w:val="28"/>
          <w:szCs w:val="28"/>
          <w:highlight w:val="none"/>
        </w:rPr>
        <w:t>征求意见和完善阶段：202</w:t>
      </w:r>
      <w:r>
        <w:rPr>
          <w:rFonts w:hint="eastAsia" w:ascii="仿宋_GB2312" w:hAnsi="仿宋_GB2312" w:cs="仿宋_GB2312"/>
          <w:sz w:val="28"/>
          <w:szCs w:val="28"/>
          <w:highlight w:val="none"/>
          <w:lang w:val="en-US" w:eastAsia="zh-CN"/>
        </w:rPr>
        <w:t>1</w:t>
      </w:r>
      <w:r>
        <w:rPr>
          <w:rFonts w:hint="eastAsia" w:ascii="仿宋_GB2312" w:hAnsi="仿宋_GB2312" w:cs="仿宋_GB2312"/>
          <w:sz w:val="28"/>
          <w:szCs w:val="28"/>
          <w:highlight w:val="none"/>
        </w:rPr>
        <w:t>.</w:t>
      </w:r>
      <w:r>
        <w:rPr>
          <w:rFonts w:hint="eastAsia" w:ascii="仿宋_GB2312" w:hAnsi="仿宋_GB2312" w:cs="仿宋_GB2312"/>
          <w:sz w:val="28"/>
          <w:szCs w:val="28"/>
          <w:highlight w:val="none"/>
          <w:lang w:val="en-US" w:eastAsia="zh-CN"/>
        </w:rPr>
        <w:t>3.1</w:t>
      </w:r>
      <w:r>
        <w:rPr>
          <w:rFonts w:hint="eastAsia" w:ascii="仿宋_GB2312" w:hAnsi="仿宋_GB2312" w:cs="仿宋_GB2312"/>
          <w:sz w:val="28"/>
          <w:szCs w:val="28"/>
          <w:highlight w:val="none"/>
        </w:rPr>
        <w:t>-至今</w:t>
      </w:r>
    </w:p>
    <w:p>
      <w:pPr>
        <w:pStyle w:val="9"/>
        <w:spacing w:line="360" w:lineRule="auto"/>
        <w:ind w:firstLine="560"/>
        <w:rPr>
          <w:rFonts w:hint="default" w:cs="Times New Roman"/>
          <w:sz w:val="28"/>
          <w:szCs w:val="28"/>
          <w:lang w:val="en-US" w:eastAsia="zh-CN"/>
        </w:rPr>
      </w:pPr>
      <w:r>
        <w:rPr>
          <w:rFonts w:hint="eastAsia" w:ascii="仿宋_GB2312" w:hAnsi="仿宋_GB2312" w:cs="仿宋_GB2312"/>
          <w:sz w:val="28"/>
          <w:szCs w:val="28"/>
        </w:rPr>
        <w:t>完成初稿后进行了</w:t>
      </w:r>
      <w:r>
        <w:rPr>
          <w:rFonts w:hint="eastAsia" w:ascii="仿宋_GB2312" w:hAnsi="仿宋_GB2312" w:cs="仿宋_GB2312"/>
          <w:sz w:val="28"/>
          <w:szCs w:val="28"/>
          <w:lang w:val="en-US" w:eastAsia="zh-CN"/>
        </w:rPr>
        <w:t>三</w:t>
      </w:r>
      <w:r>
        <w:rPr>
          <w:rFonts w:hint="eastAsia" w:ascii="仿宋_GB2312" w:hAnsi="仿宋_GB2312" w:cs="仿宋_GB2312"/>
          <w:sz w:val="28"/>
          <w:szCs w:val="28"/>
        </w:rPr>
        <w:t>轮</w:t>
      </w:r>
      <w:r>
        <w:rPr>
          <w:rFonts w:hint="eastAsia" w:ascii="仿宋_GB2312" w:hAnsi="仿宋_GB2312" w:cs="仿宋_GB2312"/>
          <w:sz w:val="28"/>
          <w:szCs w:val="28"/>
          <w:lang w:val="en-US" w:eastAsia="zh-CN"/>
        </w:rPr>
        <w:t>德尔菲</w:t>
      </w:r>
      <w:r>
        <w:rPr>
          <w:rFonts w:hint="eastAsia" w:ascii="仿宋_GB2312" w:hAnsi="仿宋_GB2312" w:cs="仿宋_GB2312"/>
          <w:sz w:val="28"/>
          <w:szCs w:val="28"/>
        </w:rPr>
        <w:t>专家咨询，同时，</w:t>
      </w:r>
      <w:r>
        <w:rPr>
          <w:rFonts w:hint="eastAsia" w:ascii="仿宋_GB2312" w:hAnsi="仿宋_GB2312" w:cs="仿宋_GB2312"/>
          <w:sz w:val="28"/>
          <w:szCs w:val="28"/>
          <w:lang w:val="en-US" w:eastAsia="zh-CN"/>
        </w:rPr>
        <w:t>标准制定负责人芦霜护士长</w:t>
      </w:r>
      <w:r>
        <w:rPr>
          <w:rFonts w:hint="eastAsia" w:ascii="仿宋_GB2312" w:hAnsi="仿宋_GB2312" w:cs="仿宋_GB2312"/>
          <w:sz w:val="28"/>
          <w:szCs w:val="28"/>
        </w:rPr>
        <w:t>亲</w:t>
      </w:r>
      <w:r>
        <w:rPr>
          <w:rFonts w:hint="eastAsia" w:ascii="仿宋_GB2312" w:hAnsi="仿宋_GB2312" w:cs="仿宋_GB2312"/>
          <w:sz w:val="28"/>
          <w:szCs w:val="28"/>
          <w:highlight w:val="none"/>
        </w:rPr>
        <w:t>赴</w:t>
      </w:r>
      <w:r>
        <w:rPr>
          <w:rFonts w:hint="eastAsia" w:ascii="仿宋_GB2312" w:hAnsi="仿宋_GB2312" w:cs="仿宋_GB2312"/>
          <w:sz w:val="28"/>
          <w:szCs w:val="28"/>
          <w:highlight w:val="none"/>
          <w:lang w:val="en-US" w:eastAsia="zh-CN"/>
        </w:rPr>
        <w:t>辽宁中医药大学、辽宁中医药大学附属第三医院、鞍山市中医院、本溪市中医院等省内中医院进行</w:t>
      </w:r>
      <w:r>
        <w:rPr>
          <w:rFonts w:hint="eastAsia" w:ascii="仿宋_GB2312" w:hAnsi="仿宋_GB2312" w:cs="仿宋_GB2312"/>
          <w:sz w:val="28"/>
          <w:szCs w:val="28"/>
          <w:highlight w:val="none"/>
        </w:rPr>
        <w:t>实地考察，征求一线人员的意见。</w:t>
      </w:r>
      <w:r>
        <w:rPr>
          <w:rFonts w:hint="eastAsia" w:cs="Times New Roman"/>
          <w:sz w:val="28"/>
          <w:szCs w:val="28"/>
          <w:highlight w:val="none"/>
          <w:lang w:val="en-US" w:eastAsia="zh-CN"/>
        </w:rPr>
        <w:t>本标准以辽宁中医药大学</w:t>
      </w:r>
      <w:r>
        <w:rPr>
          <w:rFonts w:hint="eastAsia" w:cs="Times New Roman"/>
          <w:sz w:val="28"/>
          <w:szCs w:val="28"/>
          <w:lang w:val="en-US" w:eastAsia="zh-CN"/>
        </w:rPr>
        <w:t>附属医院为依托，结合省内中医院开展游走罐技术以来相关技术成果，拟定标准编写工作计划。在编制过程中，</w:t>
      </w:r>
      <w:r>
        <w:rPr>
          <w:rFonts w:hint="eastAsia" w:ascii="仿宋_GB2312"/>
          <w:sz w:val="28"/>
          <w:szCs w:val="28"/>
        </w:rPr>
        <w:t>至今共有</w:t>
      </w:r>
      <w:r>
        <w:rPr>
          <w:rFonts w:hint="eastAsia" w:ascii="仿宋_GB2312"/>
          <w:sz w:val="28"/>
          <w:szCs w:val="28"/>
          <w:lang w:val="en-US" w:eastAsia="zh-CN"/>
        </w:rPr>
        <w:t>20</w:t>
      </w:r>
      <w:r>
        <w:rPr>
          <w:rFonts w:hint="eastAsia" w:ascii="仿宋_GB2312"/>
          <w:sz w:val="28"/>
          <w:szCs w:val="28"/>
        </w:rPr>
        <w:t>名专家回复</w:t>
      </w:r>
      <w:r>
        <w:rPr>
          <w:rFonts w:hint="eastAsia" w:ascii="仿宋_GB2312"/>
          <w:color w:val="auto"/>
          <w:sz w:val="28"/>
          <w:szCs w:val="28"/>
          <w:u w:val="none"/>
          <w:lang w:val="en-US" w:eastAsia="zh-CN"/>
        </w:rPr>
        <w:t>30</w:t>
      </w:r>
      <w:r>
        <w:rPr>
          <w:rFonts w:hint="eastAsia" w:ascii="仿宋_GB2312"/>
          <w:sz w:val="28"/>
          <w:szCs w:val="28"/>
        </w:rPr>
        <w:t>条意见。我们已经对各位评审专家提出的修改意见逐一研究，对采纳的部分进行了修改，并提出了不采纳意见的理由，</w:t>
      </w:r>
      <w:r>
        <w:rPr>
          <w:rFonts w:hint="eastAsia" w:cs="Times New Roman"/>
          <w:sz w:val="28"/>
          <w:szCs w:val="28"/>
          <w:lang w:val="en-US" w:eastAsia="zh-CN"/>
        </w:rPr>
        <w:t>最后确定送审稿报送有关部门审核。</w:t>
      </w:r>
    </w:p>
    <w:p>
      <w:pPr>
        <w:ind w:firstLine="560" w:firstLineChars="200"/>
        <w:jc w:val="left"/>
        <w:rPr>
          <w:rFonts w:hint="eastAsia" w:ascii="仿宋_GB2312" w:hAnsi="宋体" w:cs="仿宋_GB2312"/>
          <w:color w:val="auto"/>
          <w:u w:val="single"/>
          <w:lang w:eastAsia="zh-CN"/>
        </w:rPr>
      </w:pPr>
      <w:r>
        <w:rPr>
          <w:rFonts w:hint="eastAsia" w:cs="Times New Roman"/>
          <w:color w:val="auto"/>
          <w:sz w:val="28"/>
          <w:szCs w:val="28"/>
          <w:u w:val="none"/>
          <w:lang w:val="en-US" w:eastAsia="zh-CN"/>
        </w:rPr>
        <w:t>4.</w:t>
      </w:r>
      <w:r>
        <w:rPr>
          <w:rFonts w:hint="eastAsia" w:cs="Times New Roman"/>
          <w:color w:val="auto"/>
          <w:sz w:val="28"/>
          <w:szCs w:val="28"/>
          <w:u w:val="none"/>
        </w:rPr>
        <w:t>主要起草人及其所做的工作</w:t>
      </w:r>
      <w:r>
        <w:rPr>
          <w:rFonts w:hint="eastAsia" w:cs="Times New Roman"/>
          <w:color w:val="auto"/>
          <w:sz w:val="28"/>
          <w:szCs w:val="28"/>
          <w:u w:val="none"/>
          <w:lang w:eastAsia="zh-CN"/>
        </w:rPr>
        <w:t>：</w:t>
      </w:r>
      <w:r>
        <w:rPr>
          <w:rFonts w:hint="eastAsia" w:cs="Times New Roman"/>
          <w:color w:val="auto"/>
          <w:sz w:val="28"/>
          <w:szCs w:val="28"/>
          <w:u w:val="none"/>
          <w:lang w:val="en-US" w:eastAsia="zh-CN"/>
        </w:rPr>
        <w:t>芦霜、马莹蕊、张晓军、张泽、卢军、韩晴、杨楠、王姝媛、费秋红</w:t>
      </w:r>
      <w:r>
        <w:rPr>
          <w:rFonts w:hint="eastAsia" w:cs="Times New Roman"/>
          <w:color w:val="auto"/>
          <w:sz w:val="28"/>
          <w:szCs w:val="28"/>
          <w:u w:val="none"/>
          <w:lang w:eastAsia="zh-CN"/>
        </w:rPr>
        <w:t>。</w:t>
      </w:r>
    </w:p>
    <w:tbl>
      <w:tblPr>
        <w:tblStyle w:val="4"/>
        <w:tblW w:w="8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960"/>
        <w:gridCol w:w="909"/>
        <w:gridCol w:w="2952"/>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spacing w:line="360" w:lineRule="auto"/>
              <w:jc w:val="both"/>
              <w:rPr>
                <w:rFonts w:hint="eastAsia" w:ascii="宋体"/>
                <w:b/>
                <w:sz w:val="24"/>
              </w:rPr>
            </w:pPr>
            <w:r>
              <w:rPr>
                <w:rFonts w:hint="eastAsia" w:ascii="宋体"/>
                <w:b/>
                <w:sz w:val="24"/>
              </w:rPr>
              <w:t>序号</w:t>
            </w:r>
          </w:p>
        </w:tc>
        <w:tc>
          <w:tcPr>
            <w:tcW w:w="960" w:type="dxa"/>
            <w:noWrap w:val="0"/>
            <w:vAlign w:val="center"/>
          </w:tcPr>
          <w:p>
            <w:pPr>
              <w:spacing w:line="360" w:lineRule="auto"/>
              <w:jc w:val="both"/>
              <w:rPr>
                <w:rFonts w:hint="eastAsia" w:ascii="宋体"/>
                <w:b/>
                <w:sz w:val="24"/>
              </w:rPr>
            </w:pPr>
            <w:r>
              <w:rPr>
                <w:rFonts w:hint="eastAsia" w:ascii="宋体"/>
                <w:b/>
                <w:sz w:val="24"/>
              </w:rPr>
              <w:t>姓名</w:t>
            </w:r>
          </w:p>
        </w:tc>
        <w:tc>
          <w:tcPr>
            <w:tcW w:w="909" w:type="dxa"/>
            <w:noWrap w:val="0"/>
            <w:vAlign w:val="center"/>
          </w:tcPr>
          <w:p>
            <w:pPr>
              <w:spacing w:line="360" w:lineRule="auto"/>
              <w:jc w:val="both"/>
              <w:rPr>
                <w:rFonts w:hint="eastAsia" w:ascii="宋体"/>
                <w:b/>
                <w:sz w:val="24"/>
              </w:rPr>
            </w:pPr>
            <w:r>
              <w:rPr>
                <w:rFonts w:hint="eastAsia" w:ascii="宋体"/>
                <w:b/>
                <w:sz w:val="24"/>
              </w:rPr>
              <w:t>学历</w:t>
            </w:r>
          </w:p>
        </w:tc>
        <w:tc>
          <w:tcPr>
            <w:tcW w:w="2952" w:type="dxa"/>
            <w:noWrap w:val="0"/>
            <w:vAlign w:val="center"/>
          </w:tcPr>
          <w:p>
            <w:pPr>
              <w:spacing w:line="360" w:lineRule="auto"/>
              <w:jc w:val="both"/>
              <w:rPr>
                <w:rFonts w:hint="default" w:ascii="宋体" w:eastAsia="仿宋_GB2312"/>
                <w:b/>
                <w:sz w:val="24"/>
                <w:lang w:val="en-US" w:eastAsia="zh-CN"/>
              </w:rPr>
            </w:pPr>
            <w:r>
              <w:rPr>
                <w:rFonts w:hint="eastAsia" w:ascii="宋体"/>
                <w:b/>
                <w:sz w:val="24"/>
                <w:lang w:val="en-US" w:eastAsia="zh-CN"/>
              </w:rPr>
              <w:t>工作单位</w:t>
            </w:r>
          </w:p>
        </w:tc>
        <w:tc>
          <w:tcPr>
            <w:tcW w:w="2600" w:type="dxa"/>
            <w:noWrap w:val="0"/>
            <w:vAlign w:val="center"/>
          </w:tcPr>
          <w:p>
            <w:pPr>
              <w:spacing w:line="360" w:lineRule="auto"/>
              <w:jc w:val="both"/>
              <w:rPr>
                <w:rFonts w:hint="default" w:ascii="宋体" w:eastAsia="仿宋_GB2312"/>
                <w:b/>
                <w:sz w:val="24"/>
                <w:lang w:val="en-US" w:eastAsia="zh-CN"/>
              </w:rPr>
            </w:pPr>
            <w:r>
              <w:rPr>
                <w:rFonts w:hint="eastAsia" w:ascii="宋体"/>
                <w:b/>
                <w:sz w:val="24"/>
                <w:lang w:val="en-US" w:eastAsia="zh-CN"/>
              </w:rPr>
              <w:t>负责工作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1</w:t>
            </w:r>
          </w:p>
        </w:tc>
        <w:tc>
          <w:tcPr>
            <w:tcW w:w="960" w:type="dxa"/>
            <w:noWrap w:val="0"/>
            <w:vAlign w:val="center"/>
          </w:tcPr>
          <w:p>
            <w:pPr>
              <w:jc w:val="both"/>
              <w:rPr>
                <w:rFonts w:hint="default" w:ascii="宋体"/>
                <w:sz w:val="24"/>
                <w:lang w:val="en-US" w:eastAsia="zh-CN"/>
              </w:rPr>
            </w:pPr>
            <w:r>
              <w:rPr>
                <w:rFonts w:hint="eastAsia" w:ascii="宋体"/>
                <w:sz w:val="24"/>
                <w:lang w:val="en-US" w:eastAsia="zh-CN"/>
              </w:rPr>
              <w:t>芦霜</w:t>
            </w:r>
          </w:p>
        </w:tc>
        <w:tc>
          <w:tcPr>
            <w:tcW w:w="909" w:type="dxa"/>
            <w:noWrap w:val="0"/>
            <w:vAlign w:val="center"/>
          </w:tcPr>
          <w:p>
            <w:pPr>
              <w:jc w:val="both"/>
              <w:rPr>
                <w:rFonts w:hint="default"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default"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总负责人：规范总汇总，标准文稿编写审核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2</w:t>
            </w:r>
          </w:p>
        </w:tc>
        <w:tc>
          <w:tcPr>
            <w:tcW w:w="960" w:type="dxa"/>
            <w:noWrap w:val="0"/>
            <w:vAlign w:val="center"/>
          </w:tcPr>
          <w:p>
            <w:pPr>
              <w:jc w:val="both"/>
              <w:rPr>
                <w:rFonts w:hint="default" w:ascii="宋体"/>
                <w:sz w:val="24"/>
                <w:lang w:val="en-US" w:eastAsia="zh-CN"/>
              </w:rPr>
            </w:pPr>
            <w:r>
              <w:rPr>
                <w:rFonts w:hint="eastAsia" w:ascii="宋体"/>
                <w:sz w:val="24"/>
                <w:lang w:val="en-US" w:eastAsia="zh-CN"/>
              </w:rPr>
              <w:t>韩晴</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3</w:t>
            </w:r>
          </w:p>
        </w:tc>
        <w:tc>
          <w:tcPr>
            <w:tcW w:w="960" w:type="dxa"/>
            <w:noWrap w:val="0"/>
            <w:vAlign w:val="center"/>
          </w:tcPr>
          <w:p>
            <w:pPr>
              <w:jc w:val="both"/>
              <w:rPr>
                <w:rFonts w:hint="default" w:ascii="宋体"/>
                <w:sz w:val="24"/>
                <w:lang w:val="en-US" w:eastAsia="zh-CN"/>
              </w:rPr>
            </w:pPr>
            <w:r>
              <w:rPr>
                <w:rFonts w:hint="eastAsia" w:ascii="宋体"/>
                <w:sz w:val="24"/>
                <w:lang w:val="en-US" w:eastAsia="zh-CN"/>
              </w:rPr>
              <w:t>杨楠</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技术负责人：规范汇总与标准文稿编写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default" w:ascii="宋体"/>
                <w:sz w:val="24"/>
                <w:lang w:val="en-US" w:eastAsia="zh-CN"/>
              </w:rPr>
            </w:pPr>
            <w:r>
              <w:rPr>
                <w:rFonts w:hint="eastAsia" w:ascii="宋体"/>
                <w:sz w:val="24"/>
                <w:lang w:val="en-US" w:eastAsia="zh-CN"/>
              </w:rPr>
              <w:t>4</w:t>
            </w:r>
          </w:p>
        </w:tc>
        <w:tc>
          <w:tcPr>
            <w:tcW w:w="960" w:type="dxa"/>
            <w:noWrap w:val="0"/>
            <w:vAlign w:val="center"/>
          </w:tcPr>
          <w:p>
            <w:pPr>
              <w:jc w:val="both"/>
              <w:rPr>
                <w:rFonts w:hint="default" w:ascii="宋体"/>
                <w:sz w:val="24"/>
                <w:lang w:val="en-US" w:eastAsia="zh-CN"/>
              </w:rPr>
            </w:pPr>
            <w:r>
              <w:rPr>
                <w:rFonts w:hint="eastAsia" w:ascii="宋体"/>
                <w:sz w:val="24"/>
                <w:lang w:val="en-US" w:eastAsia="zh-CN"/>
              </w:rPr>
              <w:t>卢军</w:t>
            </w:r>
          </w:p>
        </w:tc>
        <w:tc>
          <w:tcPr>
            <w:tcW w:w="909" w:type="dxa"/>
            <w:noWrap w:val="0"/>
            <w:vAlign w:val="center"/>
          </w:tcPr>
          <w:p>
            <w:pPr>
              <w:jc w:val="both"/>
              <w:rPr>
                <w:rFonts w:hint="default"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default"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临床调研数据汇总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5</w:t>
            </w:r>
          </w:p>
        </w:tc>
        <w:tc>
          <w:tcPr>
            <w:tcW w:w="960" w:type="dxa"/>
            <w:noWrap w:val="0"/>
            <w:vAlign w:val="center"/>
          </w:tcPr>
          <w:p>
            <w:pPr>
              <w:jc w:val="both"/>
              <w:rPr>
                <w:rFonts w:hint="default" w:ascii="宋体"/>
                <w:sz w:val="24"/>
                <w:lang w:val="en-US" w:eastAsia="zh-CN"/>
              </w:rPr>
            </w:pPr>
            <w:r>
              <w:rPr>
                <w:rFonts w:hint="eastAsia" w:ascii="宋体"/>
                <w:sz w:val="24"/>
                <w:lang w:val="en-US" w:eastAsia="zh-CN"/>
              </w:rPr>
              <w:t>王姝媛</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eastAsia" w:ascii="宋体"/>
                <w:sz w:val="24"/>
                <w:lang w:val="en-US" w:eastAsia="zh-CN"/>
              </w:rPr>
            </w:pPr>
            <w:r>
              <w:rPr>
                <w:rFonts w:hint="eastAsia" w:ascii="宋体"/>
                <w:sz w:val="24"/>
                <w:lang w:val="en-US" w:eastAsia="zh-CN"/>
              </w:rPr>
              <w:t>临床调研数据汇总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6</w:t>
            </w:r>
          </w:p>
        </w:tc>
        <w:tc>
          <w:tcPr>
            <w:tcW w:w="960" w:type="dxa"/>
            <w:noWrap w:val="0"/>
            <w:vAlign w:val="center"/>
          </w:tcPr>
          <w:p>
            <w:pPr>
              <w:jc w:val="both"/>
              <w:rPr>
                <w:rFonts w:hint="default" w:ascii="宋体"/>
                <w:sz w:val="24"/>
                <w:lang w:val="en-US" w:eastAsia="zh-CN"/>
              </w:rPr>
            </w:pPr>
            <w:r>
              <w:rPr>
                <w:rFonts w:hint="eastAsia" w:ascii="宋体"/>
                <w:sz w:val="24"/>
                <w:lang w:val="en-US" w:eastAsia="zh-CN"/>
              </w:rPr>
              <w:t>张泽</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研究生</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7</w:t>
            </w:r>
          </w:p>
        </w:tc>
        <w:tc>
          <w:tcPr>
            <w:tcW w:w="960" w:type="dxa"/>
            <w:noWrap w:val="0"/>
            <w:vAlign w:val="center"/>
          </w:tcPr>
          <w:p>
            <w:pPr>
              <w:jc w:val="both"/>
              <w:rPr>
                <w:rFonts w:hint="eastAsia" w:ascii="宋体"/>
                <w:sz w:val="24"/>
                <w:lang w:val="en-US" w:eastAsia="zh-CN"/>
              </w:rPr>
            </w:pPr>
            <w:r>
              <w:rPr>
                <w:rFonts w:hint="eastAsia" w:ascii="宋体"/>
                <w:sz w:val="24"/>
                <w:lang w:val="en-US" w:eastAsia="zh-CN"/>
              </w:rPr>
              <w:t>马莹蕊</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研究生</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eastAsia" w:ascii="宋体"/>
                <w:sz w:val="24"/>
                <w:lang w:val="en-US" w:eastAsia="zh-CN"/>
              </w:rPr>
            </w:pPr>
            <w:r>
              <w:rPr>
                <w:rFonts w:hint="eastAsia" w:ascii="宋体"/>
                <w:sz w:val="24"/>
                <w:lang w:val="en-US" w:eastAsia="zh-CN"/>
              </w:rPr>
              <w:t>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8</w:t>
            </w:r>
          </w:p>
        </w:tc>
        <w:tc>
          <w:tcPr>
            <w:tcW w:w="960" w:type="dxa"/>
            <w:noWrap w:val="0"/>
            <w:vAlign w:val="center"/>
          </w:tcPr>
          <w:p>
            <w:pPr>
              <w:jc w:val="both"/>
              <w:rPr>
                <w:rFonts w:hint="default" w:ascii="宋体"/>
                <w:sz w:val="24"/>
                <w:lang w:val="en-US" w:eastAsia="zh-CN"/>
              </w:rPr>
            </w:pPr>
            <w:r>
              <w:rPr>
                <w:rFonts w:hint="eastAsia" w:ascii="宋体"/>
                <w:sz w:val="24"/>
                <w:lang w:val="en-US" w:eastAsia="zh-CN"/>
              </w:rPr>
              <w:t>张晓军</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eastAsia" w:ascii="宋体"/>
                <w:sz w:val="24"/>
                <w:lang w:val="en-US" w:eastAsia="zh-CN"/>
              </w:rPr>
            </w:pPr>
            <w:r>
              <w:rPr>
                <w:rFonts w:hint="eastAsia" w:ascii="宋体"/>
                <w:sz w:val="24"/>
                <w:lang w:val="en-US" w:eastAsia="zh-CN"/>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9</w:t>
            </w:r>
          </w:p>
        </w:tc>
        <w:tc>
          <w:tcPr>
            <w:tcW w:w="960" w:type="dxa"/>
            <w:noWrap w:val="0"/>
            <w:vAlign w:val="center"/>
          </w:tcPr>
          <w:p>
            <w:pPr>
              <w:jc w:val="both"/>
              <w:rPr>
                <w:rFonts w:hint="eastAsia" w:ascii="宋体"/>
                <w:sz w:val="24"/>
                <w:lang w:val="en-US" w:eastAsia="zh-CN"/>
              </w:rPr>
            </w:pPr>
            <w:r>
              <w:rPr>
                <w:rFonts w:hint="eastAsia" w:ascii="宋体"/>
                <w:sz w:val="24"/>
                <w:lang w:val="en-US" w:eastAsia="zh-CN"/>
              </w:rPr>
              <w:t>费秋红</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default"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资料收集</w:t>
            </w:r>
          </w:p>
        </w:tc>
      </w:tr>
    </w:tbl>
    <w:p>
      <w:pPr>
        <w:pStyle w:val="9"/>
        <w:ind w:firstLine="640"/>
        <w:rPr>
          <w:rFonts w:hint="eastAsia" w:ascii="仿宋_GB2312" w:hAnsi="宋体" w:eastAsia="仿宋_GB2312" w:cs="仿宋_GB2312"/>
          <w:lang w:val="en-US" w:eastAsia="zh-CN"/>
        </w:rPr>
      </w:pPr>
      <w:r>
        <w:rPr>
          <w:rFonts w:hint="eastAsia" w:ascii="黑体" w:eastAsia="黑体"/>
          <w:szCs w:val="32"/>
        </w:rPr>
        <w:t>二、标准编制原则和</w:t>
      </w:r>
      <w:bookmarkStart w:id="0" w:name="_Hlk48980629"/>
      <w:r>
        <w:rPr>
          <w:rFonts w:hint="eastAsia" w:ascii="黑体" w:eastAsia="黑体"/>
          <w:szCs w:val="32"/>
        </w:rPr>
        <w:t>确定地方标准主要内容（如技术指标、参数、公式、性能要求、试验方法、检验规则）的依据</w:t>
      </w:r>
      <w:bookmarkEnd w:id="0"/>
    </w:p>
    <w:p>
      <w:pPr>
        <w:pStyle w:val="9"/>
        <w:ind w:firstLine="640"/>
        <w:jc w:val="left"/>
        <w:rPr>
          <w:rFonts w:hint="eastAsia" w:ascii="楷体_GB2312" w:eastAsia="楷体_GB2312"/>
          <w:bCs/>
          <w:szCs w:val="32"/>
        </w:rPr>
      </w:pPr>
      <w:bookmarkStart w:id="1" w:name="_Hlk48980640"/>
      <w:r>
        <w:rPr>
          <w:rFonts w:hint="eastAsia" w:ascii="楷体_GB2312" w:eastAsia="楷体_GB2312"/>
          <w:bCs/>
          <w:szCs w:val="32"/>
        </w:rPr>
        <w:t>（一）</w:t>
      </w:r>
      <w:bookmarkEnd w:id="1"/>
      <w:r>
        <w:rPr>
          <w:rFonts w:hint="eastAsia" w:ascii="楷体_GB2312" w:eastAsia="楷体_GB2312"/>
          <w:bCs/>
          <w:szCs w:val="32"/>
        </w:rPr>
        <w:t>标准编制原则</w:t>
      </w:r>
    </w:p>
    <w:p>
      <w:pPr>
        <w:ind w:firstLine="560" w:firstLineChars="200"/>
        <w:rPr>
          <w:rFonts w:hint="eastAsia" w:ascii="仿宋_GB2312" w:hAnsi="仿宋_GB2312" w:cs="仿宋_GB2312"/>
          <w:sz w:val="28"/>
          <w:szCs w:val="28"/>
        </w:rPr>
      </w:pPr>
      <w:r>
        <w:rPr>
          <w:rFonts w:hint="eastAsia" w:ascii="仿宋_GB2312" w:hAnsi="仿宋_GB2312" w:cs="仿宋_GB2312"/>
          <w:sz w:val="28"/>
          <w:szCs w:val="28"/>
        </w:rPr>
        <w:t>规范性原则。</w:t>
      </w:r>
      <w:r>
        <w:rPr>
          <w:rFonts w:hint="eastAsia" w:ascii="仿宋_GB2312" w:hAnsi="仿宋_GB2312" w:cs="仿宋_GB2312"/>
          <w:sz w:val="28"/>
          <w:szCs w:val="28"/>
          <w:u w:val="none"/>
        </w:rPr>
        <w:t>本</w:t>
      </w:r>
      <w:bookmarkStart w:id="2" w:name="_Hlk48984072"/>
      <w:r>
        <w:rPr>
          <w:rFonts w:hint="eastAsia" w:ascii="仿宋_GB2312" w:hAnsi="仿宋_GB2312" w:cs="仿宋_GB2312"/>
          <w:sz w:val="28"/>
          <w:szCs w:val="28"/>
          <w:u w:val="none"/>
        </w:rPr>
        <w:t>《规范》</w:t>
      </w:r>
      <w:bookmarkEnd w:id="2"/>
      <w:r>
        <w:rPr>
          <w:rFonts w:hint="eastAsia" w:ascii="仿宋_GB2312" w:hAnsi="仿宋_GB2312" w:cs="仿宋_GB2312"/>
          <w:sz w:val="28"/>
          <w:szCs w:val="28"/>
          <w:u w:val="none"/>
        </w:rPr>
        <w:t xml:space="preserve">符合GB/T </w:t>
      </w:r>
      <w:r>
        <w:rPr>
          <w:rFonts w:hint="eastAsia" w:ascii="仿宋_GB2312" w:hAnsi="仿宋_GB2312" w:cs="仿宋_GB2312"/>
          <w:sz w:val="28"/>
          <w:szCs w:val="28"/>
          <w:u w:val="none"/>
          <w:lang w:val="en-US" w:eastAsia="zh-CN"/>
        </w:rPr>
        <w:t>21709</w:t>
      </w:r>
      <w:r>
        <w:rPr>
          <w:rFonts w:hint="eastAsia" w:ascii="仿宋_GB2312" w:hAnsi="仿宋_GB2312" w:cs="仿宋_GB2312"/>
          <w:sz w:val="28"/>
          <w:szCs w:val="28"/>
          <w:u w:val="none"/>
        </w:rPr>
        <w:t>《</w:t>
      </w:r>
      <w:r>
        <w:rPr>
          <w:rFonts w:hint="eastAsia" w:ascii="仿宋_GB2312" w:hAnsi="仿宋_GB2312" w:cs="仿宋_GB2312"/>
          <w:sz w:val="28"/>
          <w:szCs w:val="28"/>
          <w:u w:val="none"/>
          <w:lang w:eastAsia="zh-CN"/>
        </w:rPr>
        <w:t>针灸技术操作规范</w:t>
      </w:r>
      <w:r>
        <w:rPr>
          <w:rFonts w:hint="eastAsia" w:ascii="仿宋_GB2312" w:hAnsi="仿宋_GB2312" w:cs="仿宋_GB2312"/>
          <w:sz w:val="28"/>
          <w:szCs w:val="28"/>
          <w:u w:val="none"/>
        </w:rPr>
        <w:t>》</w:t>
      </w:r>
      <w:r>
        <w:rPr>
          <w:rFonts w:hint="eastAsia" w:ascii="仿宋_GB2312" w:hAnsi="仿宋_GB2312" w:cs="仿宋_GB2312"/>
          <w:sz w:val="28"/>
          <w:szCs w:val="28"/>
          <w:u w:val="none"/>
          <w:lang w:eastAsia="zh-CN"/>
        </w:rPr>
        <w:t>第五部分拔罐</w:t>
      </w:r>
      <w:r>
        <w:rPr>
          <w:rFonts w:hint="eastAsia" w:ascii="仿宋_GB2312" w:hAnsi="仿宋_GB2312" w:cs="仿宋_GB2312"/>
          <w:sz w:val="28"/>
          <w:szCs w:val="28"/>
          <w:u w:val="none"/>
        </w:rPr>
        <w:t>的要求和规定</w:t>
      </w:r>
      <w:r>
        <w:rPr>
          <w:rFonts w:hint="eastAsia" w:ascii="仿宋_GB2312" w:hAnsi="仿宋_GB2312" w:cs="仿宋_GB2312"/>
          <w:sz w:val="28"/>
          <w:szCs w:val="28"/>
        </w:rPr>
        <w:t>。</w:t>
      </w:r>
    </w:p>
    <w:p>
      <w:pPr>
        <w:ind w:firstLine="560" w:firstLineChars="200"/>
        <w:rPr>
          <w:rFonts w:hint="eastAsia" w:ascii="仿宋_GB2312" w:hAnsi="仿宋_GB2312" w:cs="仿宋_GB2312"/>
          <w:sz w:val="28"/>
          <w:szCs w:val="28"/>
        </w:rPr>
      </w:pPr>
      <w:r>
        <w:rPr>
          <w:rFonts w:hint="eastAsia" w:ascii="仿宋_GB2312" w:hAnsi="仿宋_GB2312" w:cs="仿宋_GB2312"/>
          <w:sz w:val="28"/>
          <w:szCs w:val="28"/>
        </w:rPr>
        <w:t>协调性原则。</w:t>
      </w:r>
      <w:bookmarkStart w:id="3" w:name="_Hlk48985547"/>
      <w:r>
        <w:rPr>
          <w:rFonts w:hint="eastAsia" w:ascii="仿宋_GB2312" w:hAnsi="仿宋_GB2312" w:cs="仿宋_GB2312"/>
          <w:sz w:val="28"/>
          <w:szCs w:val="28"/>
        </w:rPr>
        <w:t>本《规范》符合国家有关法律、法规、规章和强制性标准的有关规定，与相关国家标准、行业标准、地方标准相协调。</w:t>
      </w:r>
    </w:p>
    <w:bookmarkEnd w:id="3"/>
    <w:p>
      <w:pPr>
        <w:ind w:firstLine="560" w:firstLineChars="200"/>
        <w:rPr>
          <w:rFonts w:hint="eastAsia" w:ascii="仿宋_GB2312" w:hAnsi="仿宋_GB2312" w:cs="仿宋_GB2312"/>
          <w:sz w:val="28"/>
          <w:szCs w:val="28"/>
        </w:rPr>
      </w:pPr>
      <w:r>
        <w:rPr>
          <w:rFonts w:hint="eastAsia" w:ascii="仿宋_GB2312" w:hAnsi="仿宋_GB2312" w:cs="仿宋_GB2312"/>
          <w:sz w:val="28"/>
          <w:szCs w:val="28"/>
        </w:rPr>
        <w:t>科学性、先进性和适用性原则。本《规范》规定的</w:t>
      </w:r>
      <w:r>
        <w:rPr>
          <w:rFonts w:hint="eastAsia" w:ascii="仿宋_GB2312" w:hAnsi="仿宋_GB2312" w:cs="仿宋_GB2312"/>
          <w:sz w:val="28"/>
          <w:szCs w:val="28"/>
          <w:lang w:eastAsia="zh-CN"/>
        </w:rPr>
        <w:t>游走罐的</w:t>
      </w:r>
      <w:r>
        <w:rPr>
          <w:rFonts w:hint="eastAsia" w:ascii="仿宋_GB2312" w:hAnsi="仿宋_GB2312" w:cs="仿宋_GB2312"/>
          <w:sz w:val="28"/>
          <w:szCs w:val="28"/>
        </w:rPr>
        <w:t>术语、服务对象、服务团队、服务内容、服务流程和质量控制等内容，满足了明晰各类机构</w:t>
      </w:r>
      <w:r>
        <w:rPr>
          <w:rFonts w:hint="eastAsia" w:ascii="仿宋_GB2312" w:hAnsi="仿宋_GB2312" w:cs="仿宋_GB2312"/>
          <w:sz w:val="28"/>
          <w:szCs w:val="28"/>
          <w:lang w:eastAsia="zh-CN"/>
        </w:rPr>
        <w:t>游走罐</w:t>
      </w:r>
      <w:r>
        <w:rPr>
          <w:rFonts w:hint="eastAsia" w:ascii="仿宋_GB2312" w:hAnsi="仿宋_GB2312" w:cs="仿宋_GB2312"/>
          <w:sz w:val="28"/>
          <w:szCs w:val="28"/>
        </w:rPr>
        <w:t>服务的形式和内容等要求，填补了省内空白，对于规范我省</w:t>
      </w:r>
      <w:r>
        <w:rPr>
          <w:rFonts w:hint="eastAsia" w:ascii="仿宋_GB2312" w:hAnsi="仿宋_GB2312" w:cs="仿宋_GB2312"/>
          <w:sz w:val="28"/>
          <w:szCs w:val="28"/>
          <w:lang w:eastAsia="zh-CN"/>
        </w:rPr>
        <w:t>游走罐</w:t>
      </w:r>
      <w:r>
        <w:rPr>
          <w:rFonts w:hint="eastAsia" w:ascii="仿宋_GB2312" w:hAnsi="仿宋_GB2312" w:cs="仿宋_GB2312"/>
          <w:sz w:val="28"/>
          <w:szCs w:val="28"/>
        </w:rPr>
        <w:t>服务具有指导意义</w:t>
      </w:r>
      <w:bookmarkStart w:id="4" w:name="_Hlk48980571"/>
      <w:r>
        <w:rPr>
          <w:rFonts w:hint="eastAsia" w:ascii="仿宋_GB2312" w:hAnsi="仿宋_GB2312" w:cs="仿宋_GB2312"/>
          <w:sz w:val="28"/>
          <w:szCs w:val="28"/>
        </w:rPr>
        <w:t>。</w:t>
      </w:r>
      <w:bookmarkEnd w:id="4"/>
    </w:p>
    <w:p>
      <w:pPr>
        <w:pStyle w:val="9"/>
        <w:ind w:firstLine="640"/>
        <w:jc w:val="left"/>
        <w:rPr>
          <w:rFonts w:hint="eastAsia" w:ascii="楷体_GB2312" w:eastAsia="楷体_GB2312"/>
          <w:bCs/>
          <w:szCs w:val="32"/>
          <w:lang w:val="en-US" w:eastAsia="zh-CN"/>
        </w:rPr>
      </w:pPr>
      <w:r>
        <w:rPr>
          <w:rFonts w:hint="eastAsia" w:ascii="楷体_GB2312" w:eastAsia="楷体_GB2312"/>
          <w:bCs/>
          <w:szCs w:val="32"/>
        </w:rPr>
        <w:t>（二）确定地方标准主要内容的依据。</w:t>
      </w:r>
    </w:p>
    <w:p>
      <w:pPr>
        <w:ind w:firstLine="560" w:firstLineChars="200"/>
        <w:rPr>
          <w:rFonts w:hint="eastAsia" w:ascii="仿宋_GB2312" w:hAnsi="仿宋_GB2312" w:cs="仿宋_GB2312"/>
          <w:sz w:val="28"/>
          <w:szCs w:val="28"/>
          <w:lang w:val="en-US" w:eastAsia="zh-CN"/>
        </w:rPr>
      </w:pPr>
      <w:r>
        <w:rPr>
          <w:rFonts w:ascii="仿宋_GB2312" w:hAnsi="仿宋_GB2312" w:cs="仿宋_GB2312"/>
          <w:sz w:val="28"/>
          <w:szCs w:val="28"/>
        </w:rPr>
        <w:t>本</w:t>
      </w:r>
      <w:r>
        <w:rPr>
          <w:rFonts w:hint="eastAsia" w:ascii="仿宋_GB2312" w:hAnsi="仿宋_GB2312" w:cs="仿宋_GB2312"/>
          <w:sz w:val="28"/>
          <w:szCs w:val="28"/>
        </w:rPr>
        <w:t>《规范》</w:t>
      </w:r>
      <w:r>
        <w:rPr>
          <w:rFonts w:ascii="仿宋_GB2312" w:hAnsi="仿宋_GB2312" w:cs="仿宋_GB2312"/>
          <w:sz w:val="28"/>
          <w:szCs w:val="28"/>
        </w:rPr>
        <w:t>的主要内容</w:t>
      </w:r>
      <w:r>
        <w:rPr>
          <w:rFonts w:hint="eastAsia" w:ascii="仿宋_GB2312" w:hAnsi="仿宋_GB2312" w:cs="仿宋_GB2312"/>
          <w:sz w:val="28"/>
          <w:szCs w:val="28"/>
        </w:rPr>
        <w:t>包括</w:t>
      </w:r>
      <w:r>
        <w:rPr>
          <w:rFonts w:ascii="仿宋_GB2312" w:hAnsi="仿宋_GB2312" w:cs="仿宋_GB2312"/>
          <w:sz w:val="28"/>
          <w:szCs w:val="28"/>
        </w:rPr>
        <w:t>：</w:t>
      </w:r>
      <w:r>
        <w:rPr>
          <w:rFonts w:hint="eastAsia" w:ascii="仿宋_GB2312" w:hAnsi="仿宋_GB2312" w:cs="仿宋_GB2312"/>
          <w:sz w:val="28"/>
          <w:szCs w:val="28"/>
          <w:lang w:val="en-US" w:eastAsia="zh-CN"/>
        </w:rPr>
        <w:t>范围：本标准适用于中医护理技术游走罐技术操作；规范性引用文件；术语和定义：给出游走罐的定义；操作与步骤与要求 :给出游走罐的主要操作步骤、告知内容及施术方法；施术后处理：给出游走罐技术结束后，如出现水泡的正确处理方式；注意事项：分别给出施术部位的选择、施术的手法、施术时及施术后不良反应的处理方式标准；禁忌症：给出禁止施罐的特殊患者类型；附录:给出常用的罐具种类、常见疾病的治疗技术。</w:t>
      </w:r>
    </w:p>
    <w:p>
      <w:pPr>
        <w:spacing w:line="360" w:lineRule="auto"/>
        <w:ind w:firstLine="560" w:firstLineChars="200"/>
        <w:jc w:val="both"/>
        <w:rPr>
          <w:rFonts w:hint="eastAsia" w:ascii="仿宋_GB2312" w:hAnsi="宋体" w:cs="仿宋_GB2312"/>
        </w:rPr>
      </w:pPr>
      <w:r>
        <w:rPr>
          <w:rFonts w:hint="eastAsia" w:ascii="仿宋_GB2312" w:hAnsi="仿宋_GB2312" w:cs="仿宋_GB2312"/>
          <w:sz w:val="28"/>
          <w:szCs w:val="28"/>
          <w:lang w:val="en-US" w:eastAsia="zh-CN"/>
        </w:rPr>
        <w:t>本规范从临床实际问题出发，在中医护理技术相关研究成果的基础上撰写“游走罐中医护理技术操作规范”，基本遵循《中华人民共和国国家标准 (GB/T21709.1-2008) 针灸技术操作规范第5部分:拔罐》中游走罐技术的相关内容，同时引用了由国家中医药管理局中医医疗技术协作组主编的《中医医疗技术手册》（2013普及版）和由国家中医药管理局医政司主编的《护理人员中医技术使用手册》（2015版）以及中华中医药学会主编的《中医护理常规技术操作规程》（2006版）的相关内容，并且协同20位经验丰富的专家组成员进行调研修改，共同完成了本次辽宁省地方标准的制定工作。</w:t>
      </w:r>
    </w:p>
    <w:p>
      <w:pPr>
        <w:pStyle w:val="9"/>
        <w:ind w:firstLine="640"/>
        <w:rPr>
          <w:rFonts w:hint="eastAsia" w:ascii="黑体" w:eastAsia="黑体"/>
          <w:szCs w:val="32"/>
          <w:lang w:eastAsia="zh-CN"/>
        </w:rPr>
      </w:pPr>
      <w:r>
        <w:rPr>
          <w:rFonts w:hint="eastAsia" w:ascii="黑体" w:eastAsia="黑体"/>
          <w:szCs w:val="32"/>
        </w:rPr>
        <w:t>三、主要试验（或验证）的分析、</w:t>
      </w:r>
      <w:r>
        <w:rPr>
          <w:rFonts w:hint="eastAsia" w:ascii="黑体" w:eastAsia="黑体"/>
          <w:szCs w:val="32"/>
          <w:lang w:eastAsia="zh-CN"/>
        </w:rPr>
        <w:t>综述报告，</w:t>
      </w:r>
      <w:r>
        <w:rPr>
          <w:rFonts w:hint="eastAsia" w:ascii="黑体" w:eastAsia="黑体"/>
          <w:szCs w:val="32"/>
        </w:rPr>
        <w:t>技术经济论证</w:t>
      </w:r>
      <w:r>
        <w:rPr>
          <w:rFonts w:hint="eastAsia" w:ascii="黑体" w:eastAsia="黑体"/>
          <w:szCs w:val="32"/>
          <w:lang w:eastAsia="zh-CN"/>
        </w:rPr>
        <w:t>，</w:t>
      </w:r>
      <w:r>
        <w:rPr>
          <w:rFonts w:hint="eastAsia" w:ascii="黑体" w:eastAsia="黑体"/>
          <w:szCs w:val="32"/>
        </w:rPr>
        <w:t>预期经济</w:t>
      </w:r>
      <w:r>
        <w:rPr>
          <w:rFonts w:hint="eastAsia" w:ascii="黑体" w:eastAsia="黑体"/>
          <w:szCs w:val="32"/>
          <w:lang w:eastAsia="zh-CN"/>
        </w:rPr>
        <w:t>社会生态</w:t>
      </w:r>
      <w:r>
        <w:rPr>
          <w:rFonts w:hint="eastAsia" w:ascii="黑体" w:eastAsia="黑体"/>
          <w:szCs w:val="32"/>
        </w:rPr>
        <w:t>效益</w:t>
      </w:r>
      <w:r>
        <w:rPr>
          <w:rFonts w:hint="eastAsia" w:ascii="黑体" w:eastAsia="黑体"/>
          <w:szCs w:val="32"/>
          <w:lang w:eastAsia="zh-CN"/>
        </w:rPr>
        <w:t>分析</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2016年，国家颁布的《全国护理事业发展规划（2016-2020）》文件中重申“推动中医护理发展”，并对促进中医护理技术的创新提出明确要求。辽宁省为贯彻落实文件精神，也制定出相应措施，积极开展中医护理事业。游走罐疗法又称为推罐。本疗法由中医传统拔罐疗法发展而来，为拔罐疗法中的一种。</w:t>
      </w:r>
      <w:r>
        <w:rPr>
          <w:rFonts w:hint="eastAsia" w:ascii="仿宋_GB2312" w:hAnsi="仿宋_GB2312" w:cs="仿宋_GB2312"/>
          <w:color w:val="auto"/>
          <w:sz w:val="28"/>
          <w:szCs w:val="28"/>
          <w:lang w:val="en-US" w:eastAsia="zh-CN"/>
        </w:rPr>
        <w:t>通过走罐的速度、频率、密度（面积），控制合力的大小、方向、作用力点，有可能达到选择性和增强吸拔的强刺激、弱刺激，从而</w:t>
      </w:r>
      <w:r>
        <w:rPr>
          <w:rFonts w:hint="eastAsia" w:ascii="仿宋_GB2312" w:hAnsi="仿宋_GB2312" w:cs="仿宋_GB2312"/>
          <w:sz w:val="28"/>
          <w:szCs w:val="28"/>
          <w:lang w:val="en-US" w:eastAsia="zh-CN"/>
        </w:rPr>
        <w:t>调节人体脏腑、经络气血功能，起到温经通络、除湿散寒、消肿止痛、拔毒排脓的作用，因其方法独特、简便安全、疗效稳定的特点，逐渐发展成为最常用的中医护理技术之一。游走罐中护理技术作为传统中医文化的一颗明珠，是从长期实践中，经过不断总结和完善出来的，行之有效的中医护理技术。其应用广泛，可以作为共性技术、形成规范，指导临床护理实践。</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预期的社会经济效益：近年来经济社会的迅速发展和人们对健康的更高关注，对中医护理提出更高要求，为适应人民群众不断增长的健康需求和经济社会发展对中医护理工作的新要求，提高中医护理服务水平，制定出符合我省医疗现状的中医护理技术行业标准，实现中医护理操作标准统一化，进一步实现全省的中医护理技术同质化，便于培养相关护理人才，降低培训的难度和费用；通过标准的制定，提高中医临床治疗效果，更加注重患者的人文关怀，降低并发症发生率，增加医院患者就诊量。</w:t>
      </w:r>
    </w:p>
    <w:p>
      <w:pPr>
        <w:numPr>
          <w:ilvl w:val="0"/>
          <w:numId w:val="0"/>
        </w:numPr>
        <w:ind w:firstLine="640" w:firstLineChars="200"/>
        <w:jc w:val="both"/>
        <w:rPr>
          <w:rFonts w:hint="eastAsia" w:ascii="黑体" w:hAnsi="宋体" w:eastAsia="黑体"/>
          <w:lang w:val="en-US" w:eastAsia="zh-CN"/>
        </w:rPr>
      </w:pPr>
      <w:r>
        <w:rPr>
          <w:rFonts w:hint="eastAsia" w:ascii="黑体" w:hAnsi="宋体" w:eastAsia="黑体"/>
          <w:lang w:val="en-US" w:eastAsia="zh-CN"/>
        </w:rPr>
        <w:t>四、与现行有关法律、法规和国家标准、行业标准、地方标准的关系</w:t>
      </w:r>
    </w:p>
    <w:p>
      <w:pPr>
        <w:pStyle w:val="9"/>
        <w:ind w:firstLine="560"/>
        <w:rPr>
          <w:rFonts w:ascii="仿宋_GB2312" w:hAnsi="仿宋_GB2312" w:cs="仿宋_GB2312"/>
          <w:sz w:val="28"/>
          <w:szCs w:val="28"/>
        </w:rPr>
      </w:pPr>
      <w:r>
        <w:rPr>
          <w:rFonts w:hint="eastAsia" w:ascii="仿宋_GB2312" w:hAnsi="仿宋_GB2312" w:cs="仿宋_GB2312"/>
          <w:sz w:val="28"/>
          <w:szCs w:val="28"/>
        </w:rPr>
        <w:t>本《规范》符合国家有关法律、法规、规章和强制性标准的有关规定，与相关国家标准、行业标准、地方标准相协调。</w:t>
      </w:r>
    </w:p>
    <w:p>
      <w:pPr>
        <w:numPr>
          <w:ilvl w:val="0"/>
          <w:numId w:val="0"/>
        </w:numPr>
        <w:ind w:firstLine="640" w:firstLineChars="200"/>
        <w:jc w:val="both"/>
        <w:rPr>
          <w:rFonts w:hint="eastAsia" w:ascii="黑体" w:hAnsi="宋体" w:eastAsia="黑体"/>
          <w:lang w:val="en-US" w:eastAsia="zh-CN"/>
        </w:rPr>
      </w:pPr>
      <w:r>
        <w:rPr>
          <w:rFonts w:hint="eastAsia" w:ascii="黑体" w:hAnsi="宋体" w:eastAsia="黑体"/>
          <w:lang w:val="en-US" w:eastAsia="zh-CN"/>
        </w:rPr>
        <w:t>五、征求意见和分歧处理情况</w:t>
      </w:r>
    </w:p>
    <w:p>
      <w:pPr>
        <w:ind w:firstLine="560" w:firstLineChars="200"/>
        <w:jc w:val="both"/>
        <w:rPr>
          <w:rFonts w:hint="eastAsia" w:ascii="仿宋_GB2312"/>
          <w:sz w:val="28"/>
          <w:szCs w:val="28"/>
        </w:rPr>
      </w:pPr>
      <w:r>
        <w:rPr>
          <w:rFonts w:hint="eastAsia" w:ascii="仿宋_GB2312" w:hAnsi="仿宋_GB2312" w:cs="仿宋_GB2312"/>
          <w:sz w:val="28"/>
          <w:szCs w:val="28"/>
        </w:rPr>
        <w:t>本《规范》</w:t>
      </w:r>
      <w:r>
        <w:rPr>
          <w:rFonts w:hint="eastAsia" w:ascii="仿宋_GB2312"/>
          <w:sz w:val="28"/>
          <w:szCs w:val="28"/>
        </w:rPr>
        <w:t>共有</w:t>
      </w:r>
      <w:r>
        <w:rPr>
          <w:rFonts w:hint="eastAsia" w:ascii="仿宋_GB2312"/>
          <w:sz w:val="28"/>
          <w:szCs w:val="28"/>
          <w:lang w:val="en-US" w:eastAsia="zh-CN"/>
        </w:rPr>
        <w:t>20</w:t>
      </w:r>
      <w:r>
        <w:rPr>
          <w:rFonts w:hint="eastAsia" w:ascii="仿宋_GB2312"/>
          <w:sz w:val="28"/>
          <w:szCs w:val="28"/>
        </w:rPr>
        <w:t>名评审专家回复</w:t>
      </w:r>
      <w:r>
        <w:rPr>
          <w:rFonts w:hint="eastAsia" w:ascii="仿宋_GB2312"/>
          <w:sz w:val="28"/>
          <w:szCs w:val="28"/>
          <w:lang w:val="en-US" w:eastAsia="zh-CN"/>
        </w:rPr>
        <w:t>30</w:t>
      </w:r>
      <w:r>
        <w:rPr>
          <w:rFonts w:hint="eastAsia" w:ascii="仿宋_GB2312"/>
          <w:sz w:val="28"/>
          <w:szCs w:val="28"/>
        </w:rPr>
        <w:t>条</w:t>
      </w:r>
      <w:r>
        <w:rPr>
          <w:rFonts w:hint="eastAsia" w:ascii="仿宋_GB2312"/>
          <w:sz w:val="28"/>
          <w:szCs w:val="28"/>
          <w:lang w:val="en-US" w:eastAsia="zh-CN"/>
        </w:rPr>
        <w:t>有效</w:t>
      </w:r>
      <w:r>
        <w:rPr>
          <w:rFonts w:hint="eastAsia" w:ascii="仿宋_GB2312"/>
          <w:sz w:val="28"/>
          <w:szCs w:val="28"/>
        </w:rPr>
        <w:t>意见，主要征求意见和修改情况如下：</w:t>
      </w:r>
    </w:p>
    <w:p>
      <w:pPr>
        <w:spacing w:line="240" w:lineRule="atLeast"/>
        <w:ind w:firstLine="560" w:firstLineChars="200"/>
        <w:rPr>
          <w:rFonts w:hint="eastAsia" w:ascii="仿宋_GB2312"/>
          <w:sz w:val="28"/>
          <w:szCs w:val="28"/>
          <w:lang w:val="en-US" w:eastAsia="zh-CN"/>
        </w:rPr>
      </w:pPr>
      <w:r>
        <w:rPr>
          <w:rFonts w:hint="eastAsia" w:ascii="仿宋_GB2312" w:hAnsi="仿宋_GB2312" w:cs="仿宋_GB2312"/>
          <w:sz w:val="28"/>
          <w:szCs w:val="28"/>
          <w:lang w:val="en-US" w:eastAsia="zh-CN"/>
        </w:rPr>
        <w:t>1.</w:t>
      </w:r>
      <w:r>
        <w:rPr>
          <w:rFonts w:hint="eastAsia" w:ascii="仿宋_GB2312" w:hAnsi="仿宋_GB2312" w:cs="仿宋_GB2312"/>
          <w:sz w:val="28"/>
          <w:szCs w:val="28"/>
        </w:rPr>
        <w:t>《</w:t>
      </w:r>
      <w:r>
        <w:rPr>
          <w:rFonts w:hint="eastAsia" w:ascii="仿宋_GB2312"/>
          <w:sz w:val="28"/>
          <w:szCs w:val="28"/>
        </w:rPr>
        <w:t>规范</w:t>
      </w:r>
      <w:r>
        <w:rPr>
          <w:rFonts w:hint="eastAsia" w:ascii="仿宋_GB2312" w:hAnsi="仿宋_GB2312" w:cs="仿宋_GB2312"/>
          <w:sz w:val="28"/>
          <w:szCs w:val="28"/>
        </w:rPr>
        <w:t>》的</w:t>
      </w:r>
      <w:r>
        <w:rPr>
          <w:rFonts w:hint="eastAsia" w:ascii="仿宋_GB2312" w:hAnsi="仿宋_GB2312" w:cs="仿宋_GB2312"/>
          <w:sz w:val="28"/>
          <w:szCs w:val="28"/>
          <w:lang w:val="en-US" w:eastAsia="zh-CN"/>
        </w:rPr>
        <w:t>1范围中“</w:t>
      </w:r>
      <w:r>
        <w:rPr>
          <w:rFonts w:hint="eastAsia" w:ascii="仿宋_GB2312"/>
          <w:sz w:val="28"/>
          <w:szCs w:val="28"/>
        </w:rPr>
        <w:t>本部分规定了常用游走罐的术语和定义</w:t>
      </w:r>
      <w:r>
        <w:rPr>
          <w:rFonts w:hint="eastAsia" w:ascii="仿宋_GB2312"/>
          <w:sz w:val="28"/>
          <w:szCs w:val="28"/>
          <w:lang w:eastAsia="zh-CN"/>
        </w:rPr>
        <w:t>”，“</w:t>
      </w:r>
      <w:r>
        <w:rPr>
          <w:rFonts w:hint="eastAsia" w:ascii="仿宋_GB2312"/>
          <w:sz w:val="28"/>
          <w:szCs w:val="28"/>
        </w:rPr>
        <w:t>本部分适用于常用游走罐技术操作</w:t>
      </w:r>
      <w:r>
        <w:rPr>
          <w:rFonts w:hint="eastAsia" w:ascii="仿宋_GB2312"/>
          <w:sz w:val="28"/>
          <w:szCs w:val="28"/>
          <w:lang w:eastAsia="zh-CN"/>
        </w:rPr>
        <w:t>”，</w:t>
      </w:r>
      <w:r>
        <w:rPr>
          <w:rFonts w:hint="eastAsia" w:ascii="仿宋_GB2312"/>
          <w:sz w:val="28"/>
          <w:szCs w:val="28"/>
        </w:rPr>
        <w:t>辽宁中医药大学</w:t>
      </w:r>
      <w:r>
        <w:rPr>
          <w:rFonts w:hint="eastAsia" w:ascii="仿宋_GB2312"/>
          <w:color w:val="auto"/>
          <w:sz w:val="28"/>
          <w:szCs w:val="28"/>
        </w:rPr>
        <w:t>主治医师</w:t>
      </w:r>
      <w:r>
        <w:rPr>
          <w:rFonts w:hint="eastAsia" w:ascii="仿宋_GB2312"/>
          <w:sz w:val="28"/>
          <w:szCs w:val="28"/>
        </w:rPr>
        <w:t>孟建</w:t>
      </w:r>
      <w:r>
        <w:rPr>
          <w:rFonts w:hint="eastAsia" w:ascii="仿宋_GB2312"/>
          <w:sz w:val="28"/>
          <w:szCs w:val="28"/>
          <w:lang w:val="en-US" w:eastAsia="zh-CN"/>
        </w:rPr>
        <w:t>建议删除“常用”二字，予以采纳。</w:t>
      </w:r>
    </w:p>
    <w:p>
      <w:pPr>
        <w:spacing w:line="240" w:lineRule="atLeast"/>
        <w:ind w:firstLine="560" w:firstLineChars="200"/>
        <w:rPr>
          <w:rFonts w:hint="eastAsia" w:ascii="仿宋_GB2312"/>
          <w:sz w:val="28"/>
          <w:szCs w:val="28"/>
          <w:lang w:val="en-US" w:eastAsia="zh-CN"/>
        </w:rPr>
      </w:pPr>
      <w:r>
        <w:rPr>
          <w:rFonts w:hint="eastAsia" w:ascii="仿宋_GB2312"/>
          <w:sz w:val="28"/>
          <w:szCs w:val="28"/>
          <w:lang w:val="en-US" w:eastAsia="zh-CN"/>
        </w:rPr>
        <w:t>2.</w:t>
      </w:r>
      <w:r>
        <w:rPr>
          <w:rFonts w:hint="eastAsia" w:ascii="仿宋_GB2312"/>
          <w:sz w:val="28"/>
          <w:szCs w:val="28"/>
        </w:rPr>
        <w:t>《规范》的</w:t>
      </w:r>
      <w:r>
        <w:rPr>
          <w:rFonts w:hint="eastAsia" w:ascii="仿宋_GB2312"/>
          <w:sz w:val="28"/>
          <w:szCs w:val="28"/>
          <w:lang w:val="en-US" w:eastAsia="zh-CN"/>
        </w:rPr>
        <w:t>1范围中“</w:t>
      </w:r>
      <w:r>
        <w:rPr>
          <w:rFonts w:hint="eastAsia" w:ascii="仿宋_GB2312"/>
          <w:sz w:val="28"/>
          <w:szCs w:val="28"/>
        </w:rPr>
        <w:t>本标准适用于辽宁省内中医院、中西医结合医院、综合医院中医科及社区医院的游走罐技术操作</w:t>
      </w:r>
      <w:r>
        <w:rPr>
          <w:rFonts w:hint="eastAsia" w:ascii="仿宋_GB2312"/>
          <w:sz w:val="28"/>
          <w:szCs w:val="28"/>
          <w:lang w:eastAsia="zh-CN"/>
        </w:rPr>
        <w:t>”，</w:t>
      </w:r>
      <w:r>
        <w:rPr>
          <w:rFonts w:hint="eastAsia" w:ascii="仿宋_GB2312"/>
          <w:sz w:val="28"/>
          <w:szCs w:val="28"/>
        </w:rPr>
        <w:t>辽宁中医药大学</w:t>
      </w:r>
      <w:r>
        <w:rPr>
          <w:rFonts w:hint="eastAsia" w:ascii="仿宋_GB2312"/>
          <w:color w:val="auto"/>
          <w:sz w:val="28"/>
          <w:szCs w:val="28"/>
        </w:rPr>
        <w:t>主治医师</w:t>
      </w:r>
      <w:r>
        <w:rPr>
          <w:rFonts w:hint="eastAsia" w:ascii="仿宋_GB2312"/>
          <w:sz w:val="28"/>
          <w:szCs w:val="28"/>
        </w:rPr>
        <w:t>孟建</w:t>
      </w:r>
      <w:r>
        <w:rPr>
          <w:rFonts w:hint="eastAsia" w:ascii="仿宋_GB2312"/>
          <w:sz w:val="28"/>
          <w:szCs w:val="28"/>
          <w:lang w:val="en-US" w:eastAsia="zh-CN"/>
        </w:rPr>
        <w:t>建议修改为“</w:t>
      </w:r>
      <w:r>
        <w:rPr>
          <w:rFonts w:hint="eastAsia" w:ascii="仿宋_GB2312"/>
          <w:sz w:val="28"/>
          <w:szCs w:val="28"/>
        </w:rPr>
        <w:t>本标准适用于辽宁省内中医院、中西医结合医院、综合医院中医科及社区医院，指导护理人员进行游走罐技术操作</w:t>
      </w:r>
      <w:r>
        <w:rPr>
          <w:rFonts w:hint="eastAsia" w:ascii="仿宋_GB2312"/>
          <w:sz w:val="28"/>
          <w:szCs w:val="28"/>
          <w:lang w:eastAsia="zh-CN"/>
        </w:rPr>
        <w:t>”，</w:t>
      </w:r>
      <w:r>
        <w:rPr>
          <w:rFonts w:hint="eastAsia" w:ascii="仿宋_GB2312"/>
          <w:sz w:val="28"/>
          <w:szCs w:val="28"/>
          <w:lang w:val="en-US" w:eastAsia="zh-CN"/>
        </w:rPr>
        <w:t>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sz w:val="28"/>
          <w:szCs w:val="28"/>
          <w:lang w:val="en-US" w:eastAsia="zh-CN"/>
        </w:rPr>
        <w:t>3.</w:t>
      </w:r>
      <w:r>
        <w:rPr>
          <w:rFonts w:hint="eastAsia" w:ascii="仿宋_GB2312"/>
          <w:sz w:val="28"/>
          <w:szCs w:val="28"/>
        </w:rPr>
        <w:t>《规范》的</w:t>
      </w:r>
      <w:r>
        <w:rPr>
          <w:rFonts w:hint="eastAsia" w:ascii="仿宋_GB2312"/>
          <w:sz w:val="28"/>
          <w:szCs w:val="28"/>
          <w:lang w:val="en-US" w:eastAsia="zh-CN"/>
        </w:rPr>
        <w:t>1范围中“</w:t>
      </w:r>
      <w:r>
        <w:rPr>
          <w:rFonts w:hint="eastAsia" w:ascii="仿宋_GB2312"/>
          <w:sz w:val="28"/>
          <w:szCs w:val="28"/>
        </w:rPr>
        <w:t>本部分适用于游走罐技术操作</w:t>
      </w:r>
      <w:r>
        <w:rPr>
          <w:rFonts w:hint="eastAsia" w:ascii="仿宋_GB2312"/>
          <w:sz w:val="28"/>
          <w:szCs w:val="28"/>
          <w:lang w:eastAsia="zh-CN"/>
        </w:rPr>
        <w:t>”，“</w:t>
      </w:r>
      <w:r>
        <w:rPr>
          <w:rFonts w:hint="eastAsia" w:ascii="仿宋_GB2312"/>
          <w:sz w:val="28"/>
          <w:szCs w:val="28"/>
        </w:rPr>
        <w:t>指导护理人员进行游走罐技术操作</w:t>
      </w:r>
      <w:r>
        <w:rPr>
          <w:rFonts w:hint="eastAsia" w:ascii="仿宋_GB2312"/>
          <w:sz w:val="28"/>
          <w:szCs w:val="28"/>
          <w:lang w:eastAsia="zh-CN"/>
        </w:rPr>
        <w:t>”，</w:t>
      </w:r>
      <w:r>
        <w:rPr>
          <w:rFonts w:hint="eastAsia" w:ascii="仿宋_GB2312" w:hAnsi="仿宋_GB2312" w:cs="仿宋_GB2312"/>
          <w:sz w:val="28"/>
          <w:szCs w:val="28"/>
          <w:lang w:val="en-US" w:eastAsia="zh-CN"/>
        </w:rPr>
        <w:t>辽宁中医药大学主任医师张宁苏</w:t>
      </w:r>
      <w:r>
        <w:rPr>
          <w:rFonts w:hint="eastAsia" w:ascii="仿宋_GB2312"/>
          <w:sz w:val="28"/>
          <w:szCs w:val="28"/>
          <w:lang w:eastAsia="zh-CN"/>
        </w:rPr>
        <w:t>建议修改为“</w:t>
      </w:r>
      <w:r>
        <w:rPr>
          <w:rFonts w:hint="eastAsia" w:ascii="仿宋_GB2312"/>
          <w:sz w:val="28"/>
          <w:szCs w:val="28"/>
        </w:rPr>
        <w:t>本部分适用于中医护理技术游走罐技术操作</w:t>
      </w:r>
      <w:r>
        <w:rPr>
          <w:rFonts w:hint="eastAsia" w:ascii="仿宋_GB2312"/>
          <w:sz w:val="28"/>
          <w:szCs w:val="28"/>
          <w:lang w:eastAsia="zh-CN"/>
        </w:rPr>
        <w:t>”，“</w:t>
      </w:r>
      <w:r>
        <w:rPr>
          <w:rFonts w:hint="eastAsia" w:ascii="仿宋_GB2312"/>
          <w:sz w:val="28"/>
          <w:szCs w:val="28"/>
        </w:rPr>
        <w:t>指导护理人员进行中医护理技术游走罐技术</w:t>
      </w:r>
      <w:r>
        <w:rPr>
          <w:rFonts w:hint="eastAsia" w:ascii="仿宋_GB2312" w:hAnsi="仿宋_GB2312" w:cs="仿宋_GB2312"/>
          <w:sz w:val="28"/>
          <w:szCs w:val="28"/>
          <w:lang w:val="en-US" w:eastAsia="zh-CN"/>
        </w:rPr>
        <w:t>操作”，予以采纳。</w:t>
      </w:r>
    </w:p>
    <w:p>
      <w:pPr>
        <w:spacing w:line="240" w:lineRule="atLeast"/>
        <w:ind w:firstLine="560" w:firstLineChars="200"/>
        <w:rPr>
          <w:rFonts w:hint="default" w:ascii="黑体" w:hAnsi="黑体" w:eastAsia="黑体" w:cs="黑体"/>
          <w:b/>
          <w:bCs/>
          <w:color w:val="000000"/>
          <w:sz w:val="21"/>
          <w:szCs w:val="21"/>
          <w:highlight w:val="none"/>
          <w:lang w:val="en-US" w:eastAsia="zh-CN"/>
        </w:rPr>
      </w:pPr>
      <w:r>
        <w:rPr>
          <w:rFonts w:hint="eastAsia" w:ascii="仿宋_GB2312" w:hAnsi="仿宋_GB2312" w:cs="仿宋_GB2312"/>
          <w:sz w:val="28"/>
          <w:szCs w:val="28"/>
          <w:lang w:val="en-US" w:eastAsia="zh-CN"/>
        </w:rPr>
        <w:t>4.</w:t>
      </w:r>
      <w:bookmarkStart w:id="5" w:name="_Toc18367"/>
      <w:r>
        <w:rPr>
          <w:rFonts w:hint="eastAsia" w:ascii="仿宋_GB2312" w:hAnsi="仿宋_GB2312" w:cs="仿宋_GB2312"/>
          <w:sz w:val="28"/>
          <w:szCs w:val="28"/>
          <w:lang w:val="en-US" w:eastAsia="zh-CN"/>
        </w:rPr>
        <w:t>《规范》的4.1.3</w:t>
      </w:r>
      <w:bookmarkEnd w:id="5"/>
      <w:r>
        <w:rPr>
          <w:rFonts w:hint="eastAsia" w:ascii="仿宋_GB2312" w:hAnsi="仿宋_GB2312" w:cs="仿宋_GB2312"/>
          <w:sz w:val="28"/>
          <w:szCs w:val="28"/>
          <w:lang w:val="en-US" w:eastAsia="zh-CN"/>
        </w:rPr>
        <w:t>“游走罐部位的皮肤情况”，大连市中医医院中医主任护师沈桐建议修改为“施术部位的皮肤情况”，予以采纳。</w:t>
      </w:r>
    </w:p>
    <w:p>
      <w:pPr>
        <w:spacing w:line="240" w:lineRule="auto"/>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5.《规范》的4.2.1“治疗过程中局部可能出现水疱或烫伤”，沈阳市中医院中医主任护师刘兴颖建议将“或烫伤”删除，予以采纳。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6.《规范》的4.3.2.1治疗车上层，长春中医药大学主任护师周秀玲建议增加“记录单”，予以采纳。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7.《规范》的4.3.2物品准备：治疗车上层及下层，</w:t>
      </w:r>
      <w:r>
        <w:rPr>
          <w:rFonts w:hint="eastAsia" w:ascii="仿宋_GB2312"/>
          <w:sz w:val="28"/>
          <w:szCs w:val="28"/>
        </w:rPr>
        <w:t>辽宁中医药大学</w:t>
      </w:r>
      <w:r>
        <w:rPr>
          <w:rFonts w:hint="eastAsia" w:ascii="仿宋_GB2312"/>
          <w:color w:val="auto"/>
          <w:sz w:val="28"/>
          <w:szCs w:val="28"/>
        </w:rPr>
        <w:t>主治医师</w:t>
      </w:r>
      <w:r>
        <w:rPr>
          <w:rFonts w:hint="eastAsia" w:ascii="仿宋_GB2312"/>
          <w:sz w:val="28"/>
          <w:szCs w:val="28"/>
        </w:rPr>
        <w:t>孟建</w:t>
      </w:r>
      <w:r>
        <w:rPr>
          <w:rFonts w:hint="eastAsia" w:ascii="仿宋_GB2312"/>
          <w:sz w:val="28"/>
          <w:szCs w:val="28"/>
          <w:lang w:val="en-US" w:eastAsia="zh-CN"/>
        </w:rPr>
        <w:t>建议添</w:t>
      </w:r>
      <w:r>
        <w:rPr>
          <w:rFonts w:hint="eastAsia" w:ascii="仿宋_GB2312" w:hAnsi="仿宋_GB2312" w:cs="仿宋_GB2312"/>
          <w:sz w:val="28"/>
          <w:szCs w:val="28"/>
          <w:lang w:val="en-US" w:eastAsia="zh-CN"/>
        </w:rPr>
        <w:t>加“（至少应包括）”，予以采纳。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8.</w:t>
      </w:r>
      <w:bookmarkStart w:id="6" w:name="_Toc2857"/>
      <w:r>
        <w:rPr>
          <w:rFonts w:hint="eastAsia" w:ascii="仿宋_GB2312" w:hAnsi="仿宋_GB2312" w:cs="仿宋_GB2312"/>
          <w:sz w:val="28"/>
          <w:szCs w:val="28"/>
          <w:lang w:val="en-US" w:eastAsia="zh-CN"/>
        </w:rPr>
        <w:t>《规范》的4.3.3环境准备,辽宁中医药大学</w:t>
      </w:r>
      <w:r>
        <w:rPr>
          <w:rFonts w:hint="eastAsia" w:ascii="仿宋_GB2312" w:hAnsi="仿宋_GB2312" w:cs="仿宋_GB2312"/>
          <w:color w:val="auto"/>
          <w:sz w:val="28"/>
          <w:szCs w:val="28"/>
          <w:lang w:val="en-US" w:eastAsia="zh-CN"/>
        </w:rPr>
        <w:t>主治医师</w:t>
      </w:r>
      <w:r>
        <w:rPr>
          <w:rFonts w:hint="eastAsia" w:ascii="仿宋_GB2312" w:hAnsi="仿宋_GB2312" w:cs="仿宋_GB2312"/>
          <w:sz w:val="28"/>
          <w:szCs w:val="28"/>
          <w:lang w:val="en-US" w:eastAsia="zh-CN"/>
        </w:rPr>
        <w:t>孟建建议</w:t>
      </w:r>
      <w:bookmarkEnd w:id="6"/>
      <w:r>
        <w:rPr>
          <w:rFonts w:hint="eastAsia" w:ascii="仿宋_GB2312" w:hAnsi="仿宋_GB2312" w:cs="仿宋_GB2312"/>
          <w:sz w:val="28"/>
          <w:szCs w:val="28"/>
          <w:lang w:val="en-US" w:eastAsia="zh-CN"/>
        </w:rPr>
        <w:t>环境卫生要求应符合 GB 15982-2012的规定，“保持环境安静，清洁卫生，温湿度适宜，必要时屏风遮挡。”，予以采纳。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9.《规范》的</w:t>
      </w:r>
      <w:bookmarkStart w:id="7" w:name="_Toc29908"/>
      <w:r>
        <w:rPr>
          <w:rFonts w:hint="eastAsia" w:ascii="仿宋_GB2312" w:hAnsi="仿宋_GB2312" w:cs="仿宋_GB2312"/>
          <w:sz w:val="28"/>
          <w:szCs w:val="28"/>
          <w:lang w:val="en-US" w:eastAsia="zh-CN"/>
        </w:rPr>
        <w:t>4.4.1</w:t>
      </w:r>
      <w:bookmarkEnd w:id="7"/>
      <w:r>
        <w:rPr>
          <w:rFonts w:hint="eastAsia" w:ascii="仿宋_GB2312" w:hAnsi="仿宋_GB2312" w:cs="仿宋_GB2312"/>
          <w:sz w:val="28"/>
          <w:szCs w:val="28"/>
          <w:lang w:val="en-US" w:eastAsia="zh-CN"/>
        </w:rPr>
        <w:t>“核对医嘱，评估患者，做好解释”，中国医科大学附属第一医院副主任护师张军建议将“评估患者”删除，予以采纳。</w:t>
      </w:r>
    </w:p>
    <w:p>
      <w:pPr>
        <w:ind w:firstLine="560" w:firstLineChars="200"/>
        <w:jc w:val="both"/>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10.《规范》的4.4.2中，沈阳市中医院中医主任护师刘兴颖建议增加“增加罐体有无缺损裂痕”，予以采纳。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11.《规范》的4.4.5中，大连市中医医院中医主任护师沈桐建议增加“选经取穴”，予以采纳。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12.《规范》的4.4.7拔罐中“火罐内转动1～2周后迅速抽出”，黑龙江中医药大学附属第一医院主任护师王冬梅建议更改为“在火罐内中、下端转动1～2周迅速抽出”，予以采纳。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13.《规范》的4.4.9起罐中，长春中医药大学主任护师周秀玲建议删除“安抚”两字，予以采纳。</w:t>
      </w:r>
    </w:p>
    <w:p>
      <w:pPr>
        <w:ind w:firstLine="560" w:firstLineChars="200"/>
        <w:jc w:val="both"/>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14.《规范》的</w:t>
      </w:r>
      <w:bookmarkStart w:id="8" w:name="_Toc607"/>
      <w:r>
        <w:rPr>
          <w:rFonts w:hint="eastAsia" w:ascii="仿宋_GB2312" w:hAnsi="仿宋_GB2312" w:cs="仿宋_GB2312"/>
          <w:sz w:val="28"/>
          <w:szCs w:val="28"/>
          <w:lang w:val="en-US" w:eastAsia="zh-CN"/>
        </w:rPr>
        <w:t>4.4.10</w:t>
      </w:r>
      <w:bookmarkEnd w:id="8"/>
      <w:r>
        <w:rPr>
          <w:rFonts w:hint="eastAsia" w:ascii="仿宋_GB2312" w:hAnsi="仿宋_GB2312" w:cs="仿宋_GB2312"/>
          <w:sz w:val="28"/>
          <w:szCs w:val="28"/>
          <w:lang w:val="en-US" w:eastAsia="zh-CN"/>
        </w:rPr>
        <w:t>“操作后查对，协助患者整理衣着，安置舒适体位，整理床单位。”，辽宁中医药大学主任医师张宁苏建议规范用语修改为“操作后查对，协助患者整理衣物，取舒适体位”，予以采纳。</w:t>
      </w:r>
    </w:p>
    <w:p>
      <w:pPr>
        <w:ind w:firstLine="560" w:firstLineChars="200"/>
        <w:jc w:val="both"/>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15.《规范》的4.4.11“用物按《医疗机构消毒技术规范》处理</w:t>
      </w:r>
      <w:r>
        <w:rPr>
          <w:rFonts w:hint="default" w:ascii="仿宋_GB2312" w:hAnsi="仿宋_GB2312" w:cs="仿宋_GB2312"/>
          <w:sz w:val="28"/>
          <w:szCs w:val="28"/>
          <w:lang w:val="en-US" w:eastAsia="zh-CN"/>
        </w:rPr>
        <w:t>”</w:t>
      </w:r>
      <w:r>
        <w:rPr>
          <w:rFonts w:hint="eastAsia" w:ascii="仿宋_GB2312" w:hAnsi="仿宋_GB2312" w:cs="仿宋_GB2312"/>
          <w:sz w:val="28"/>
          <w:szCs w:val="28"/>
          <w:lang w:val="en-US" w:eastAsia="zh-CN"/>
        </w:rPr>
        <w:t>，辽宁中医药大学</w:t>
      </w:r>
      <w:r>
        <w:rPr>
          <w:rFonts w:hint="eastAsia" w:ascii="仿宋_GB2312" w:hAnsi="仿宋_GB2312" w:cs="仿宋_GB2312"/>
          <w:color w:val="auto"/>
          <w:sz w:val="28"/>
          <w:szCs w:val="28"/>
          <w:lang w:val="en-US" w:eastAsia="zh-CN"/>
        </w:rPr>
        <w:t>主治医师</w:t>
      </w:r>
      <w:r>
        <w:rPr>
          <w:rFonts w:hint="eastAsia" w:ascii="仿宋_GB2312" w:hAnsi="仿宋_GB2312" w:cs="仿宋_GB2312"/>
          <w:sz w:val="28"/>
          <w:szCs w:val="28"/>
          <w:lang w:val="en-US" w:eastAsia="zh-CN"/>
        </w:rPr>
        <w:t>孟建建议标注《医疗机构消毒技术规范》的文件号“WS/T 367-2012”，以方便使用标准的人的查阅参考，予以采纳。</w:t>
      </w:r>
    </w:p>
    <w:p>
      <w:pPr>
        <w:numPr>
          <w:ilvl w:val="0"/>
          <w:numId w:val="0"/>
        </w:numPr>
        <w:spacing w:line="300" w:lineRule="auto"/>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16.《规范》的5施术后处理，黑龙江中医药大学附属第一医院主任护师王冬梅建议增加“拔罐后不要剧烈活动，安静修养片刻。拔罐后不要立即洗澡。”，予以采纳。</w:t>
      </w:r>
    </w:p>
    <w:p>
      <w:pPr>
        <w:numPr>
          <w:ilvl w:val="0"/>
          <w:numId w:val="0"/>
        </w:numPr>
        <w:spacing w:line="300" w:lineRule="auto"/>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17.《规范》的5.1“告知患者可饮一杯温开水”，辽宁中医药大学</w:t>
      </w:r>
      <w:r>
        <w:rPr>
          <w:rFonts w:hint="eastAsia" w:ascii="仿宋_GB2312" w:hAnsi="仿宋_GB2312" w:cs="仿宋_GB2312"/>
          <w:color w:val="auto"/>
          <w:sz w:val="28"/>
          <w:szCs w:val="28"/>
          <w:lang w:val="en-US" w:eastAsia="zh-CN"/>
        </w:rPr>
        <w:t>主治医师</w:t>
      </w:r>
      <w:r>
        <w:rPr>
          <w:rFonts w:hint="eastAsia" w:ascii="仿宋_GB2312" w:hAnsi="仿宋_GB2312" w:cs="仿宋_GB2312"/>
          <w:sz w:val="28"/>
          <w:szCs w:val="28"/>
          <w:lang w:val="en-US" w:eastAsia="zh-CN"/>
        </w:rPr>
        <w:t>孟建建议修改为“告知患者施术后半小时可饮一杯温开水。”，予以采纳。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18.《规范》的5.5“覆盖消毒敷料”，大连市中医医院中医主任护师沈桐建议修改为“覆盖无菌敷料”，予以采纳。</w:t>
      </w:r>
    </w:p>
    <w:p>
      <w:pPr>
        <w:numPr>
          <w:ilvl w:val="0"/>
          <w:numId w:val="0"/>
        </w:numPr>
        <w:spacing w:line="300" w:lineRule="auto"/>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19.《规范》的7.1大连市中医医院中医主任护师沈桐建议增加“高热”，予以采纳。</w:t>
      </w:r>
    </w:p>
    <w:p>
      <w:pPr>
        <w:spacing w:line="240" w:lineRule="atLeast"/>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20.《规范》中共有11处未采纳的建议，中国医科大学附属第一医院副主任护师张军建议将4操作步骤改为“操作流程”，顺序改为“操作前准备-核对-告知-评估-操作步骤”，因该名称及顺序来源于国家标准不可修改，故未采纳；辽宁中医药大学主任医师张宁苏建议4.1.1病室环境及温度应符合防疫要求,因《规范》按常规操作流程，非只适用于疫情期间，故未采纳；本溪市中医院主任护师于美玲建议在4.3.3环境准备中添加“避免对流风”，因已经按照国家标准GB 15982-2012修改，故未采纳；辽宁中医药大学主治医师孟建建议在4.3.4患者准备中“增加患者体位、患者情绪”，因评估中有此项内容，故未采纳；辽宁中医药大学主任护师朱江建议确定4.4.4中“六步洗手法”是否为“七步洗手法”，因2019年修订的《手卫生中华人民共和国卫生行业标准-医务人员手卫生规范》（WS/T313-2019）于2020年6月1日开始实施仍为六步洗手法，故未采纳；中国医科大学附属第一医院副主任护师张军建议删除4.4.4中的“戴口罩”和4.4.12中的“摘口罩”，因《规范》按常规操作流程，非只适用于疫情期间，故未采纳；抚顺市中医院主任护师邹晓峰建议在4.4.8走罐中添加“不可在骨突处推拉，以免损伤皮肤，或火罐漏气脱落。”，因注意事项中包含此项内容，故未采纳；辽宁中医药大学主治医师孟建建议5中的“如”字去掉，来源于《中医护理常规技术操作规程》不可修改，故未采纳；中国医科大学附属第一医院副主任护师张军建议将“施术后处理”一词修改为“操作后不良反应处理”，名称来源于国家标准不可修改，故未采纳；鞍山市中医院副主任护师王达明建议增加“并发症：局部过敏、皮疹。处理：轻者无需处理，重者可服抗过敏药物”，因并发症与施术后处理雷同，故未采纳；辽宁中医药大学主任医师张宁苏建议更新附录B中的“1994年国家中医药管理局颁发的《中医病证诊断疗效标准》”的依据标准，经查证已为最新标准，故未采纳。</w:t>
      </w:r>
    </w:p>
    <w:p>
      <w:pPr>
        <w:ind w:firstLine="560" w:firstLineChars="200"/>
      </w:pPr>
      <w:r>
        <w:rPr>
          <w:rFonts w:hint="eastAsia" w:ascii="仿宋_GB2312" w:hAnsi="仿宋_GB2312" w:cs="仿宋_GB2312"/>
          <w:sz w:val="28"/>
          <w:szCs w:val="28"/>
        </w:rPr>
        <w:t>综上，本《规范》</w:t>
      </w:r>
      <w:r>
        <w:rPr>
          <w:rFonts w:hint="eastAsia" w:ascii="仿宋_GB2312"/>
          <w:sz w:val="28"/>
          <w:szCs w:val="28"/>
        </w:rPr>
        <w:t>在起草过程中与所涉环节的主管部门交流，没有出现重大意见，本标准文本未见重大分歧意见。</w:t>
      </w:r>
    </w:p>
    <w:p>
      <w:pPr>
        <w:numPr>
          <w:ilvl w:val="0"/>
          <w:numId w:val="0"/>
        </w:numPr>
        <w:jc w:val="both"/>
        <w:rPr>
          <w:rFonts w:hint="eastAsia" w:ascii="黑体" w:hAnsi="宋体" w:eastAsia="黑体"/>
          <w:lang w:val="en-US" w:eastAsia="zh-CN"/>
        </w:rPr>
      </w:pPr>
      <w:r>
        <w:rPr>
          <w:rFonts w:hint="eastAsia" w:ascii="黑体" w:hAnsi="宋体" w:eastAsia="黑体"/>
          <w:lang w:val="en-US" w:eastAsia="zh-CN"/>
        </w:rPr>
        <w:t xml:space="preserve">    六、推动标准实施的措施建议</w:t>
      </w:r>
    </w:p>
    <w:p>
      <w:pPr>
        <w:ind w:firstLine="560" w:firstLineChars="200"/>
      </w:pPr>
      <w:r>
        <w:rPr>
          <w:rFonts w:hint="eastAsia"/>
          <w:sz w:val="28"/>
          <w:szCs w:val="28"/>
          <w:lang w:eastAsia="zh-CN"/>
        </w:rPr>
        <w:t>在国家大力发展中医事业，全民普及养生的背景下，为使标准更好的发挥技术指导作用，对全省游走罐中医护理技术操作进行同质化管理，提高全省中医护理技术操作水平，建议标准在实施过程中应做好宣传培训工作，并尽快颁布《游走罐中医护理技术操作规范》作为推荐标准，使地方提供游走罐护理技术的各单位掌握标准的各项技术要求，促进标准的应用真正落到实处，并进一步指导临床实践。同时对《游走罐中医护理技术操作规范》地方标准的实施情况进行跟踪调查，及时发现标准中存在的问题，不断修正完善。</w:t>
      </w:r>
    </w:p>
    <w:p>
      <w:pPr>
        <w:numPr>
          <w:ilvl w:val="0"/>
          <w:numId w:val="0"/>
        </w:numPr>
        <w:ind w:firstLine="640" w:firstLineChars="200"/>
        <w:jc w:val="both"/>
        <w:rPr>
          <w:rFonts w:hint="eastAsia" w:ascii="楷体_GB2312" w:hAnsi="华文仿宋" w:eastAsia="楷体_GB2312"/>
          <w:kern w:val="0"/>
          <w:szCs w:val="32"/>
        </w:rPr>
      </w:pPr>
      <w:r>
        <w:rPr>
          <w:rFonts w:hint="eastAsia" w:ascii="黑体" w:hAnsi="宋体" w:eastAsia="黑体"/>
          <w:lang w:val="en-US" w:eastAsia="zh-CN"/>
        </w:rPr>
        <w:t>七、</w:t>
      </w:r>
      <w:r>
        <w:rPr>
          <w:rFonts w:hint="eastAsia" w:ascii="黑体" w:eastAsia="黑体"/>
          <w:szCs w:val="32"/>
        </w:rPr>
        <w:t>作为推荐性或强制性标准的建议及其理由</w:t>
      </w:r>
    </w:p>
    <w:p>
      <w:pPr>
        <w:ind w:firstLine="560" w:firstLineChars="200"/>
        <w:jc w:val="both"/>
        <w:rPr>
          <w:rFonts w:hint="eastAsia"/>
          <w:sz w:val="28"/>
          <w:szCs w:val="28"/>
          <w:lang w:eastAsia="zh-CN"/>
        </w:rPr>
      </w:pPr>
      <w:r>
        <w:rPr>
          <w:rFonts w:hint="eastAsia"/>
          <w:sz w:val="28"/>
          <w:szCs w:val="28"/>
          <w:lang w:eastAsia="zh-CN"/>
        </w:rPr>
        <w:t>此次制定的</w:t>
      </w:r>
      <w:r>
        <w:rPr>
          <w:rFonts w:hint="eastAsia"/>
          <w:sz w:val="28"/>
          <w:szCs w:val="28"/>
          <w:lang w:val="en-US" w:eastAsia="zh-CN"/>
        </w:rPr>
        <w:t>游走罐</w:t>
      </w:r>
      <w:r>
        <w:rPr>
          <w:rFonts w:hint="eastAsia"/>
          <w:sz w:val="28"/>
          <w:szCs w:val="28"/>
          <w:lang w:eastAsia="zh-CN"/>
        </w:rPr>
        <w:t>技术操作规范，推荐在辽宁省内进行推广使用。理由如下：</w:t>
      </w:r>
    </w:p>
    <w:p>
      <w:pPr>
        <w:ind w:firstLine="560" w:firstLineChars="200"/>
        <w:jc w:val="both"/>
        <w:rPr>
          <w:rFonts w:hint="eastAsia"/>
          <w:sz w:val="28"/>
          <w:szCs w:val="28"/>
          <w:lang w:val="en-US" w:eastAsia="zh-CN"/>
        </w:rPr>
      </w:pPr>
      <w:r>
        <w:rPr>
          <w:rFonts w:hint="eastAsia"/>
          <w:sz w:val="28"/>
          <w:szCs w:val="28"/>
          <w:lang w:eastAsia="zh-CN"/>
        </w:rPr>
        <w:t>①基</w:t>
      </w:r>
      <w:r>
        <w:rPr>
          <w:rFonts w:hint="eastAsia"/>
          <w:sz w:val="28"/>
          <w:szCs w:val="28"/>
          <w:lang w:val="en-US" w:eastAsia="zh-CN"/>
        </w:rPr>
        <w:t>于</w:t>
      </w:r>
      <w:r>
        <w:rPr>
          <w:rFonts w:hint="eastAsia"/>
          <w:sz w:val="28"/>
          <w:szCs w:val="28"/>
          <w:lang w:eastAsia="zh-CN"/>
        </w:rPr>
        <w:t>我省医疗资源分布不均匀、从业人员的中医技术操作能力参差不齐等情况，</w:t>
      </w:r>
      <w:r>
        <w:rPr>
          <w:rFonts w:hint="eastAsia"/>
          <w:sz w:val="28"/>
          <w:szCs w:val="28"/>
          <w:lang w:val="en-US" w:eastAsia="zh-CN"/>
        </w:rPr>
        <w:t>本标准</w:t>
      </w:r>
      <w:r>
        <w:rPr>
          <w:rFonts w:hint="eastAsia"/>
          <w:sz w:val="28"/>
          <w:szCs w:val="28"/>
          <w:lang w:eastAsia="zh-CN"/>
        </w:rPr>
        <w:t>在国家标准的基础上，对操作步骤进行细化、对操作流程加以完善，使其条文标准清晰，能够切实指导实际操作。</w:t>
      </w:r>
      <w:r>
        <w:rPr>
          <w:rFonts w:hint="eastAsia"/>
          <w:sz w:val="28"/>
          <w:szCs w:val="28"/>
          <w:lang w:val="en-US" w:eastAsia="zh-CN"/>
        </w:rPr>
        <w:t xml:space="preserve"> </w:t>
      </w:r>
    </w:p>
    <w:p>
      <w:pPr>
        <w:jc w:val="both"/>
        <w:rPr>
          <w:rFonts w:hint="eastAsia"/>
          <w:sz w:val="28"/>
          <w:szCs w:val="28"/>
          <w:lang w:eastAsia="zh-CN"/>
        </w:rPr>
      </w:pPr>
      <w:r>
        <w:rPr>
          <w:rFonts w:hint="eastAsia"/>
          <w:sz w:val="28"/>
          <w:szCs w:val="28"/>
          <w:lang w:val="en-US" w:eastAsia="zh-CN"/>
        </w:rPr>
        <w:t xml:space="preserve">    </w:t>
      </w:r>
      <w:r>
        <w:rPr>
          <w:rFonts w:hint="eastAsia"/>
          <w:sz w:val="28"/>
          <w:szCs w:val="28"/>
          <w:lang w:eastAsia="zh-CN"/>
        </w:rPr>
        <w:t>②通过大量文献资料收集及专家组多方讨论，对</w:t>
      </w:r>
      <w:r>
        <w:rPr>
          <w:rFonts w:hint="eastAsia"/>
          <w:sz w:val="28"/>
          <w:szCs w:val="28"/>
          <w:lang w:val="en-US" w:eastAsia="zh-CN"/>
        </w:rPr>
        <w:t>游走罐</w:t>
      </w:r>
      <w:r>
        <w:rPr>
          <w:rFonts w:hint="eastAsia"/>
          <w:sz w:val="28"/>
          <w:szCs w:val="28"/>
          <w:lang w:eastAsia="zh-CN"/>
        </w:rPr>
        <w:t>技术的注意事项、禁忌症及</w:t>
      </w:r>
      <w:r>
        <w:rPr>
          <w:rFonts w:hint="eastAsia"/>
          <w:sz w:val="28"/>
          <w:szCs w:val="28"/>
          <w:lang w:val="en-US" w:eastAsia="zh-CN"/>
        </w:rPr>
        <w:t>施术</w:t>
      </w:r>
      <w:r>
        <w:rPr>
          <w:rFonts w:hint="eastAsia"/>
          <w:sz w:val="28"/>
          <w:szCs w:val="28"/>
          <w:lang w:eastAsia="zh-CN"/>
        </w:rPr>
        <w:t>后处理等方面进行了完善，使此项操作技术的安全性大大提升。</w:t>
      </w:r>
    </w:p>
    <w:p>
      <w:pPr>
        <w:ind w:firstLine="560" w:firstLineChars="200"/>
        <w:jc w:val="both"/>
        <w:rPr>
          <w:rFonts w:hint="eastAsia" w:ascii="黑体" w:hAnsi="宋体" w:eastAsia="黑体"/>
          <w:lang w:val="en-US" w:eastAsia="zh-CN"/>
        </w:rPr>
      </w:pPr>
      <w:r>
        <w:rPr>
          <w:rFonts w:hint="eastAsia"/>
          <w:sz w:val="28"/>
          <w:szCs w:val="28"/>
          <w:lang w:eastAsia="zh-CN"/>
        </w:rPr>
        <w:t>③</w:t>
      </w:r>
      <w:r>
        <w:rPr>
          <w:rFonts w:hint="eastAsia"/>
          <w:sz w:val="28"/>
          <w:szCs w:val="28"/>
          <w:lang w:val="en-US" w:eastAsia="zh-CN"/>
        </w:rPr>
        <w:t>在</w:t>
      </w:r>
      <w:r>
        <w:rPr>
          <w:rFonts w:hint="eastAsia"/>
          <w:sz w:val="28"/>
          <w:szCs w:val="28"/>
          <w:lang w:eastAsia="zh-CN"/>
        </w:rPr>
        <w:t>实际</w:t>
      </w:r>
      <w:r>
        <w:rPr>
          <w:rFonts w:hint="eastAsia"/>
          <w:sz w:val="28"/>
          <w:szCs w:val="28"/>
          <w:lang w:val="en-US" w:eastAsia="zh-CN"/>
        </w:rPr>
        <w:t>操作</w:t>
      </w:r>
      <w:r>
        <w:rPr>
          <w:rFonts w:hint="eastAsia"/>
          <w:sz w:val="28"/>
          <w:szCs w:val="28"/>
          <w:lang w:eastAsia="zh-CN"/>
        </w:rPr>
        <w:t>应用中，针对国家标准</w:t>
      </w:r>
      <w:r>
        <w:rPr>
          <w:rFonts w:hint="eastAsia"/>
          <w:sz w:val="28"/>
          <w:szCs w:val="28"/>
          <w:lang w:val="en-US" w:eastAsia="zh-CN"/>
        </w:rPr>
        <w:t>存在</w:t>
      </w:r>
      <w:r>
        <w:rPr>
          <w:rFonts w:hint="eastAsia"/>
          <w:sz w:val="28"/>
          <w:szCs w:val="28"/>
          <w:lang w:eastAsia="zh-CN"/>
        </w:rPr>
        <w:t>一定的局限性、我省目前缺乏</w:t>
      </w:r>
      <w:r>
        <w:rPr>
          <w:rFonts w:hint="eastAsia"/>
          <w:sz w:val="28"/>
          <w:szCs w:val="28"/>
          <w:lang w:val="en-US" w:eastAsia="zh-CN"/>
        </w:rPr>
        <w:t>游走罐</w:t>
      </w:r>
      <w:r>
        <w:rPr>
          <w:rFonts w:hint="eastAsia"/>
          <w:sz w:val="28"/>
          <w:szCs w:val="28"/>
          <w:lang w:eastAsia="zh-CN"/>
        </w:rPr>
        <w:t>技术操作规范的统一标准、我省现各级医疗机构所使用的技术规范不能够相统一等弊端，统一的标准显得尤为重要。</w:t>
      </w:r>
      <w:r>
        <w:rPr>
          <w:rFonts w:hint="eastAsia"/>
          <w:sz w:val="28"/>
          <w:szCs w:val="28"/>
          <w:lang w:val="en-US" w:eastAsia="zh-CN"/>
        </w:rPr>
        <w:t>本标准</w:t>
      </w:r>
      <w:r>
        <w:rPr>
          <w:rFonts w:hint="eastAsia"/>
          <w:sz w:val="28"/>
          <w:szCs w:val="28"/>
          <w:lang w:eastAsia="zh-CN"/>
        </w:rPr>
        <w:t>的实行利于全省</w:t>
      </w:r>
      <w:r>
        <w:rPr>
          <w:rFonts w:hint="eastAsia"/>
          <w:sz w:val="28"/>
          <w:szCs w:val="28"/>
          <w:lang w:val="en-US" w:eastAsia="zh-CN"/>
        </w:rPr>
        <w:t>游走罐</w:t>
      </w:r>
      <w:r>
        <w:rPr>
          <w:rFonts w:hint="eastAsia"/>
          <w:sz w:val="28"/>
          <w:szCs w:val="28"/>
          <w:lang w:eastAsia="zh-CN"/>
        </w:rPr>
        <w:t>技术的同质化管理，进而全面提升我省</w:t>
      </w:r>
      <w:r>
        <w:rPr>
          <w:rFonts w:hint="eastAsia"/>
          <w:sz w:val="28"/>
          <w:szCs w:val="28"/>
          <w:lang w:val="en-US" w:eastAsia="zh-CN"/>
        </w:rPr>
        <w:t>游走罐</w:t>
      </w:r>
      <w:r>
        <w:rPr>
          <w:rFonts w:hint="eastAsia"/>
          <w:sz w:val="28"/>
          <w:szCs w:val="28"/>
          <w:lang w:eastAsia="zh-CN"/>
        </w:rPr>
        <w:t>技术操作水平。</w:t>
      </w:r>
    </w:p>
    <w:p>
      <w:pPr>
        <w:ind w:firstLine="640" w:firstLineChars="200"/>
        <w:jc w:val="both"/>
        <w:rPr>
          <w:rFonts w:hint="eastAsia" w:ascii="黑体" w:hAnsi="宋体" w:eastAsia="黑体"/>
          <w:lang w:val="en-US" w:eastAsia="zh-CN"/>
        </w:rPr>
      </w:pPr>
      <w:r>
        <w:rPr>
          <w:rFonts w:hint="eastAsia" w:ascii="黑体" w:hAnsi="宋体" w:eastAsia="黑体"/>
          <w:lang w:val="en-US" w:eastAsia="zh-CN"/>
        </w:rPr>
        <w:t>八、其他应说明的事项。</w:t>
      </w:r>
    </w:p>
    <w:p>
      <w:pPr>
        <w:ind w:firstLine="560" w:firstLineChars="200"/>
        <w:rPr>
          <w:rFonts w:hint="default"/>
          <w:sz w:val="28"/>
          <w:szCs w:val="28"/>
          <w:lang w:val="en-US" w:eastAsia="zh-CN"/>
        </w:rPr>
      </w:pPr>
      <w:r>
        <w:rPr>
          <w:rFonts w:hint="eastAsia"/>
          <w:sz w:val="28"/>
          <w:szCs w:val="28"/>
          <w:lang w:val="en-US" w:eastAsia="zh-CN"/>
        </w:rPr>
        <w:t>无。</w:t>
      </w:r>
    </w:p>
    <w:p>
      <w:pPr>
        <w:jc w:val="both"/>
        <w:rPr>
          <w:rFonts w:hint="eastAsia" w:ascii="仿宋_GB2312" w:hAnsi="宋体" w:cs="仿宋_GB231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71F"/>
    <w:rsid w:val="00177EFA"/>
    <w:rsid w:val="002B7A1C"/>
    <w:rsid w:val="00595F5B"/>
    <w:rsid w:val="00A2071F"/>
    <w:rsid w:val="00C569EB"/>
    <w:rsid w:val="00C86D4F"/>
    <w:rsid w:val="01415687"/>
    <w:rsid w:val="01EE4830"/>
    <w:rsid w:val="02E8309B"/>
    <w:rsid w:val="03E6505D"/>
    <w:rsid w:val="049F07C8"/>
    <w:rsid w:val="04B901BC"/>
    <w:rsid w:val="090021CB"/>
    <w:rsid w:val="0AFD3358"/>
    <w:rsid w:val="0B417081"/>
    <w:rsid w:val="0BF10098"/>
    <w:rsid w:val="0C2415ED"/>
    <w:rsid w:val="0CE75282"/>
    <w:rsid w:val="0FA80D77"/>
    <w:rsid w:val="12930514"/>
    <w:rsid w:val="19F84FD8"/>
    <w:rsid w:val="1A646B21"/>
    <w:rsid w:val="1D584767"/>
    <w:rsid w:val="1FFE2232"/>
    <w:rsid w:val="24095593"/>
    <w:rsid w:val="24C46D8C"/>
    <w:rsid w:val="25B608F7"/>
    <w:rsid w:val="287E3556"/>
    <w:rsid w:val="2A6E43E9"/>
    <w:rsid w:val="2BE33944"/>
    <w:rsid w:val="2C004A93"/>
    <w:rsid w:val="2C27711F"/>
    <w:rsid w:val="2C9160F6"/>
    <w:rsid w:val="2D7C3799"/>
    <w:rsid w:val="2D956C0D"/>
    <w:rsid w:val="2F08554F"/>
    <w:rsid w:val="2F240F8D"/>
    <w:rsid w:val="2FFA1385"/>
    <w:rsid w:val="32EB1203"/>
    <w:rsid w:val="33C634C9"/>
    <w:rsid w:val="35385A70"/>
    <w:rsid w:val="37236DE9"/>
    <w:rsid w:val="395406B7"/>
    <w:rsid w:val="398C39E3"/>
    <w:rsid w:val="3A2016EE"/>
    <w:rsid w:val="3ABB0AF5"/>
    <w:rsid w:val="3CD377AD"/>
    <w:rsid w:val="3F3C0D04"/>
    <w:rsid w:val="401E5C0D"/>
    <w:rsid w:val="432D0995"/>
    <w:rsid w:val="44953B6A"/>
    <w:rsid w:val="450D7D50"/>
    <w:rsid w:val="4A537607"/>
    <w:rsid w:val="4DC33055"/>
    <w:rsid w:val="4EED51A8"/>
    <w:rsid w:val="4F5260F2"/>
    <w:rsid w:val="50C9717C"/>
    <w:rsid w:val="515667B6"/>
    <w:rsid w:val="53861A6F"/>
    <w:rsid w:val="542A7E87"/>
    <w:rsid w:val="54957968"/>
    <w:rsid w:val="55D94983"/>
    <w:rsid w:val="575D0C42"/>
    <w:rsid w:val="5A8E02F0"/>
    <w:rsid w:val="5AEC74A8"/>
    <w:rsid w:val="5C7A290C"/>
    <w:rsid w:val="5CE14B97"/>
    <w:rsid w:val="5DE2436A"/>
    <w:rsid w:val="5E023DBF"/>
    <w:rsid w:val="645140F2"/>
    <w:rsid w:val="67012852"/>
    <w:rsid w:val="68EF72D5"/>
    <w:rsid w:val="68F96E80"/>
    <w:rsid w:val="6915196C"/>
    <w:rsid w:val="6BC23E97"/>
    <w:rsid w:val="6CFC2266"/>
    <w:rsid w:val="6F12721E"/>
    <w:rsid w:val="6F13369D"/>
    <w:rsid w:val="6FFC5F42"/>
    <w:rsid w:val="718F11F9"/>
    <w:rsid w:val="724E7684"/>
    <w:rsid w:val="773B749F"/>
    <w:rsid w:val="7AAD7231"/>
    <w:rsid w:val="7BC70225"/>
    <w:rsid w:val="7D8968A3"/>
    <w:rsid w:val="7DEE31AD"/>
    <w:rsid w:val="7F00341A"/>
    <w:rsid w:val="7FD03D2A"/>
    <w:rsid w:val="7FD4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widowControl w:val="0"/>
      <w:ind w:firstLine="420" w:firstLineChars="20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46</Words>
  <Characters>263</Characters>
  <Lines>2</Lines>
  <Paragraphs>1</Paragraphs>
  <TotalTime>10</TotalTime>
  <ScaleCrop>false</ScaleCrop>
  <LinksUpToDate>false</LinksUpToDate>
  <CharactersWithSpaces>308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2018-03-12T06:34:00Z</dcterms:created>
  <dc:creator>Windows 用户</dc:creator>
  <cp:lastModifiedBy>lenovo</cp:lastModifiedBy>
  <dcterms:modified xsi:type="dcterms:W3CDTF">2022-03-11T07:55:01Z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AC9E5805EFFA4DE6AA984F0A76A7B1D5</vt:lpwstr>
  </property>
</Properties>
</file>