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61783A">
      <w:pPr>
        <w:pStyle w:val="3"/>
        <w:spacing w:line="384" w:lineRule="auto"/>
        <w:rPr>
          <w:rFonts w:ascii="Times New Roman" w:hAnsi="Times New Roman"/>
        </w:rPr>
      </w:pPr>
    </w:p>
    <w:p w14:paraId="45DF43D8">
      <w:pPr>
        <w:spacing w:before="91" w:line="216" w:lineRule="auto"/>
        <w:rPr>
          <w:rFonts w:ascii="Times New Roman" w:hAnsi="Times New Roman" w:eastAsia="宋体" w:cs="宋体"/>
          <w:sz w:val="28"/>
          <w:szCs w:val="28"/>
        </w:rPr>
      </w:pPr>
      <w:r>
        <w:rPr>
          <w:rFonts w:ascii="Times New Roman" w:hAnsi="Times New Roman" w:eastAsia="宋体" w:cs="宋体"/>
          <w:b/>
          <w:bCs/>
          <w:spacing w:val="-4"/>
          <w:sz w:val="28"/>
          <w:szCs w:val="28"/>
        </w:rPr>
        <w:t>辽宁省地方标准</w:t>
      </w:r>
    </w:p>
    <w:p w14:paraId="77F575A3">
      <w:pPr>
        <w:pStyle w:val="3"/>
        <w:spacing w:line="258" w:lineRule="auto"/>
        <w:rPr>
          <w:rFonts w:ascii="Times New Roman" w:hAnsi="Times New Roman"/>
        </w:rPr>
      </w:pPr>
    </w:p>
    <w:p w14:paraId="27115CEF">
      <w:pPr>
        <w:pStyle w:val="3"/>
        <w:spacing w:line="258" w:lineRule="auto"/>
        <w:rPr>
          <w:rFonts w:ascii="Times New Roman" w:hAnsi="Times New Roman"/>
        </w:rPr>
      </w:pPr>
    </w:p>
    <w:p w14:paraId="4BDA4A8B">
      <w:pPr>
        <w:pStyle w:val="3"/>
        <w:spacing w:line="258" w:lineRule="auto"/>
        <w:rPr>
          <w:rFonts w:ascii="Times New Roman" w:hAnsi="Times New Roman"/>
        </w:rPr>
      </w:pPr>
    </w:p>
    <w:p w14:paraId="1F147BC0">
      <w:pPr>
        <w:pStyle w:val="3"/>
        <w:spacing w:line="259" w:lineRule="auto"/>
        <w:rPr>
          <w:rFonts w:ascii="Times New Roman" w:hAnsi="Times New Roman"/>
        </w:rPr>
      </w:pPr>
    </w:p>
    <w:p w14:paraId="61C5297A">
      <w:pPr>
        <w:pStyle w:val="3"/>
        <w:spacing w:line="259" w:lineRule="auto"/>
        <w:rPr>
          <w:rFonts w:ascii="Times New Roman" w:hAnsi="Times New Roman"/>
        </w:rPr>
      </w:pPr>
    </w:p>
    <w:p w14:paraId="27B6652E">
      <w:pPr>
        <w:pStyle w:val="3"/>
        <w:spacing w:line="259" w:lineRule="auto"/>
        <w:rPr>
          <w:rFonts w:ascii="Times New Roman" w:hAnsi="Times New Roman"/>
        </w:rPr>
      </w:pPr>
    </w:p>
    <w:p w14:paraId="12CE27DE">
      <w:pPr>
        <w:pStyle w:val="3"/>
        <w:spacing w:line="259" w:lineRule="auto"/>
        <w:rPr>
          <w:rFonts w:ascii="Times New Roman" w:hAnsi="Times New Roman"/>
        </w:rPr>
      </w:pPr>
    </w:p>
    <w:p w14:paraId="55879BBD">
      <w:pPr>
        <w:pStyle w:val="3"/>
        <w:spacing w:line="259" w:lineRule="auto"/>
        <w:rPr>
          <w:rFonts w:ascii="Times New Roman" w:hAnsi="Times New Roman"/>
        </w:rPr>
      </w:pPr>
    </w:p>
    <w:p w14:paraId="032C859D">
      <w:pPr>
        <w:pStyle w:val="3"/>
        <w:spacing w:line="259" w:lineRule="auto"/>
        <w:rPr>
          <w:rFonts w:ascii="Times New Roman" w:hAnsi="Times New Roman"/>
        </w:rPr>
      </w:pPr>
    </w:p>
    <w:p w14:paraId="18640C38">
      <w:pPr>
        <w:spacing w:before="101" w:line="437" w:lineRule="exact"/>
        <w:jc w:val="center"/>
        <w:rPr>
          <w:rFonts w:ascii="Times New Roman" w:hAnsi="Times New Roman" w:eastAsia="宋体" w:cs="宋体"/>
          <w:sz w:val="31"/>
          <w:szCs w:val="31"/>
        </w:rPr>
      </w:pPr>
      <w:r>
        <w:rPr>
          <w:rFonts w:ascii="Times New Roman" w:hAnsi="Times New Roman" w:eastAsia="宋体" w:cs="宋体"/>
          <w:b/>
          <w:bCs/>
          <w:spacing w:val="9"/>
          <w:position w:val="2"/>
          <w:sz w:val="31"/>
          <w:szCs w:val="31"/>
        </w:rPr>
        <w:t>《</w:t>
      </w:r>
      <w:r>
        <w:rPr>
          <w:rFonts w:hint="eastAsia" w:ascii="Times New Roman" w:hAnsi="Times New Roman" w:eastAsia="宋体" w:cs="宋体"/>
          <w:b/>
          <w:bCs/>
          <w:spacing w:val="9"/>
          <w:position w:val="2"/>
          <w:sz w:val="31"/>
          <w:szCs w:val="31"/>
        </w:rPr>
        <w:t>媒介生物综合管理技术规范 鼠类防制 校园食堂</w:t>
      </w:r>
      <w:r>
        <w:rPr>
          <w:rFonts w:ascii="Times New Roman" w:hAnsi="Times New Roman" w:eastAsia="宋体" w:cs="宋体"/>
          <w:b/>
          <w:bCs/>
          <w:spacing w:val="9"/>
          <w:position w:val="2"/>
          <w:sz w:val="31"/>
          <w:szCs w:val="31"/>
        </w:rPr>
        <w:t>》</w:t>
      </w:r>
    </w:p>
    <w:p w14:paraId="60304E42">
      <w:pPr>
        <w:pStyle w:val="3"/>
        <w:spacing w:line="395" w:lineRule="auto"/>
        <w:rPr>
          <w:rFonts w:ascii="Times New Roman" w:hAnsi="Times New Roman"/>
        </w:rPr>
      </w:pPr>
    </w:p>
    <w:p w14:paraId="0135DAA9">
      <w:pPr>
        <w:spacing w:before="101" w:line="438" w:lineRule="exact"/>
        <w:ind w:left="3833"/>
        <w:rPr>
          <w:rFonts w:ascii="Times New Roman" w:hAnsi="Times New Roman" w:eastAsia="宋体" w:cs="宋体"/>
          <w:sz w:val="31"/>
          <w:szCs w:val="31"/>
        </w:rPr>
      </w:pPr>
      <w:r>
        <w:rPr>
          <w:rFonts w:ascii="Times New Roman" w:hAnsi="Times New Roman" w:eastAsia="宋体" w:cs="宋体"/>
          <w:b/>
          <w:bCs/>
          <w:spacing w:val="7"/>
          <w:position w:val="2"/>
          <w:sz w:val="31"/>
          <w:szCs w:val="31"/>
        </w:rPr>
        <w:t>编制说明</w:t>
      </w:r>
    </w:p>
    <w:p w14:paraId="4917D068">
      <w:pPr>
        <w:pStyle w:val="3"/>
        <w:spacing w:line="271" w:lineRule="auto"/>
        <w:rPr>
          <w:rFonts w:ascii="Times New Roman" w:hAnsi="Times New Roman"/>
        </w:rPr>
      </w:pPr>
    </w:p>
    <w:p w14:paraId="59B34582">
      <w:pPr>
        <w:pStyle w:val="3"/>
        <w:spacing w:line="271" w:lineRule="auto"/>
        <w:rPr>
          <w:rFonts w:ascii="Times New Roman" w:hAnsi="Times New Roman"/>
        </w:rPr>
      </w:pPr>
    </w:p>
    <w:p w14:paraId="26D78807">
      <w:pPr>
        <w:pStyle w:val="3"/>
        <w:spacing w:line="271" w:lineRule="auto"/>
        <w:rPr>
          <w:rFonts w:ascii="Times New Roman" w:hAnsi="Times New Roman"/>
        </w:rPr>
      </w:pPr>
    </w:p>
    <w:p w14:paraId="1B9FD29D">
      <w:pPr>
        <w:pStyle w:val="3"/>
        <w:spacing w:line="272" w:lineRule="auto"/>
        <w:rPr>
          <w:rFonts w:ascii="Times New Roman" w:hAnsi="Times New Roman"/>
        </w:rPr>
      </w:pPr>
    </w:p>
    <w:p w14:paraId="77DD1D4A">
      <w:pPr>
        <w:pStyle w:val="3"/>
        <w:spacing w:line="272" w:lineRule="auto"/>
        <w:rPr>
          <w:rFonts w:ascii="Times New Roman" w:hAnsi="Times New Roman"/>
        </w:rPr>
      </w:pPr>
    </w:p>
    <w:p w14:paraId="0C4AC010">
      <w:pPr>
        <w:spacing w:before="100" w:line="225" w:lineRule="auto"/>
        <w:ind w:left="3711"/>
        <w:outlineLvl w:val="0"/>
        <w:rPr>
          <w:rFonts w:ascii="Times New Roman" w:hAnsi="Times New Roman" w:eastAsia="宋体" w:cs="宋体"/>
          <w:sz w:val="31"/>
          <w:szCs w:val="31"/>
        </w:rPr>
      </w:pPr>
      <w:bookmarkStart w:id="0" w:name="_Toc718257027"/>
      <w:r>
        <w:rPr>
          <w:rFonts w:ascii="Times New Roman" w:hAnsi="Times New Roman" w:eastAsia="宋体" w:cs="宋体"/>
          <w:b/>
          <w:bCs/>
          <w:spacing w:val="-4"/>
          <w:sz w:val="31"/>
          <w:szCs w:val="31"/>
        </w:rPr>
        <w:t>（送审稿）</w:t>
      </w:r>
      <w:bookmarkEnd w:id="0"/>
    </w:p>
    <w:p w14:paraId="292D55DB">
      <w:pPr>
        <w:pStyle w:val="3"/>
        <w:spacing w:line="247" w:lineRule="auto"/>
        <w:rPr>
          <w:rFonts w:ascii="Times New Roman" w:hAnsi="Times New Roman"/>
        </w:rPr>
      </w:pPr>
    </w:p>
    <w:p w14:paraId="6345785B">
      <w:pPr>
        <w:pStyle w:val="3"/>
        <w:spacing w:line="247" w:lineRule="auto"/>
        <w:rPr>
          <w:rFonts w:ascii="Times New Roman" w:hAnsi="Times New Roman"/>
        </w:rPr>
      </w:pPr>
    </w:p>
    <w:p w14:paraId="45899635">
      <w:pPr>
        <w:pStyle w:val="3"/>
        <w:spacing w:line="247" w:lineRule="auto"/>
        <w:rPr>
          <w:rFonts w:ascii="Times New Roman" w:hAnsi="Times New Roman"/>
        </w:rPr>
      </w:pPr>
    </w:p>
    <w:p w14:paraId="5DCD6516">
      <w:pPr>
        <w:pStyle w:val="3"/>
        <w:spacing w:line="247" w:lineRule="auto"/>
        <w:rPr>
          <w:rFonts w:ascii="Times New Roman" w:hAnsi="Times New Roman"/>
        </w:rPr>
      </w:pPr>
    </w:p>
    <w:p w14:paraId="67EA6B54">
      <w:pPr>
        <w:pStyle w:val="3"/>
        <w:spacing w:line="247" w:lineRule="auto"/>
        <w:rPr>
          <w:rFonts w:ascii="Times New Roman" w:hAnsi="Times New Roman"/>
        </w:rPr>
      </w:pPr>
    </w:p>
    <w:p w14:paraId="67151473">
      <w:pPr>
        <w:pStyle w:val="3"/>
        <w:spacing w:line="247" w:lineRule="auto"/>
        <w:rPr>
          <w:rFonts w:ascii="Times New Roman" w:hAnsi="Times New Roman"/>
        </w:rPr>
      </w:pPr>
    </w:p>
    <w:p w14:paraId="5F539A15">
      <w:pPr>
        <w:pStyle w:val="3"/>
        <w:spacing w:line="247" w:lineRule="auto"/>
        <w:rPr>
          <w:rFonts w:ascii="Times New Roman" w:hAnsi="Times New Roman"/>
        </w:rPr>
      </w:pPr>
    </w:p>
    <w:p w14:paraId="65F9344B">
      <w:pPr>
        <w:pStyle w:val="3"/>
        <w:spacing w:line="247" w:lineRule="auto"/>
        <w:rPr>
          <w:rFonts w:ascii="Times New Roman" w:hAnsi="Times New Roman"/>
        </w:rPr>
      </w:pPr>
    </w:p>
    <w:p w14:paraId="478F7FC0">
      <w:pPr>
        <w:pStyle w:val="3"/>
        <w:spacing w:line="247" w:lineRule="auto"/>
        <w:rPr>
          <w:rFonts w:ascii="Times New Roman" w:hAnsi="Times New Roman"/>
        </w:rPr>
      </w:pPr>
    </w:p>
    <w:p w14:paraId="173AD737">
      <w:pPr>
        <w:pStyle w:val="3"/>
        <w:spacing w:line="247" w:lineRule="auto"/>
        <w:rPr>
          <w:rFonts w:ascii="Times New Roman" w:hAnsi="Times New Roman"/>
        </w:rPr>
      </w:pPr>
    </w:p>
    <w:p w14:paraId="5F3E4698">
      <w:pPr>
        <w:pStyle w:val="3"/>
        <w:spacing w:line="247" w:lineRule="auto"/>
        <w:rPr>
          <w:rFonts w:ascii="Times New Roman" w:hAnsi="Times New Roman"/>
        </w:rPr>
      </w:pPr>
    </w:p>
    <w:p w14:paraId="0A39AF1C">
      <w:pPr>
        <w:pStyle w:val="3"/>
        <w:spacing w:line="247" w:lineRule="auto"/>
        <w:rPr>
          <w:rFonts w:ascii="Times New Roman" w:hAnsi="Times New Roman"/>
        </w:rPr>
      </w:pPr>
    </w:p>
    <w:p w14:paraId="159B9917">
      <w:pPr>
        <w:pStyle w:val="3"/>
        <w:spacing w:line="247" w:lineRule="auto"/>
        <w:rPr>
          <w:rFonts w:ascii="Times New Roman" w:hAnsi="Times New Roman"/>
        </w:rPr>
      </w:pPr>
    </w:p>
    <w:p w14:paraId="1656DDC9">
      <w:pPr>
        <w:pStyle w:val="3"/>
        <w:spacing w:line="248" w:lineRule="auto"/>
        <w:rPr>
          <w:rFonts w:ascii="Times New Roman" w:hAnsi="Times New Roman"/>
        </w:rPr>
      </w:pPr>
    </w:p>
    <w:p w14:paraId="02C596F3">
      <w:pPr>
        <w:pStyle w:val="3"/>
        <w:spacing w:line="248" w:lineRule="auto"/>
        <w:rPr>
          <w:rFonts w:ascii="Times New Roman" w:hAnsi="Times New Roman"/>
        </w:rPr>
      </w:pPr>
    </w:p>
    <w:p w14:paraId="072F1E89">
      <w:pPr>
        <w:pStyle w:val="3"/>
        <w:spacing w:line="248" w:lineRule="auto"/>
        <w:rPr>
          <w:rFonts w:ascii="Times New Roman" w:hAnsi="Times New Roman"/>
        </w:rPr>
      </w:pPr>
    </w:p>
    <w:p w14:paraId="7A8A914C">
      <w:pPr>
        <w:pStyle w:val="3"/>
        <w:spacing w:line="248" w:lineRule="auto"/>
        <w:rPr>
          <w:rFonts w:ascii="Times New Roman" w:hAnsi="Times New Roman"/>
        </w:rPr>
      </w:pPr>
    </w:p>
    <w:p w14:paraId="6B1C2F0C">
      <w:pPr>
        <w:spacing w:before="92" w:line="219" w:lineRule="auto"/>
        <w:ind w:left="845"/>
        <w:jc w:val="center"/>
        <w:rPr>
          <w:rFonts w:ascii="Times New Roman" w:hAnsi="Times New Roman" w:eastAsia="宋体" w:cs="宋体"/>
          <w:sz w:val="28"/>
          <w:szCs w:val="28"/>
        </w:rPr>
      </w:pPr>
      <w:r>
        <w:rPr>
          <w:rFonts w:ascii="Times New Roman" w:hAnsi="Times New Roman" w:eastAsia="宋体" w:cs="宋体"/>
          <w:b/>
          <w:bCs/>
          <w:spacing w:val="-3"/>
          <w:sz w:val="28"/>
          <w:szCs w:val="28"/>
        </w:rPr>
        <w:t>辽宁省疾病预防控制中心</w:t>
      </w:r>
    </w:p>
    <w:p w14:paraId="609D5FB9">
      <w:pPr>
        <w:pStyle w:val="3"/>
        <w:spacing w:line="254" w:lineRule="auto"/>
        <w:rPr>
          <w:rFonts w:ascii="Times New Roman" w:hAnsi="Times New Roman"/>
        </w:rPr>
      </w:pPr>
    </w:p>
    <w:p w14:paraId="052D59BF">
      <w:pPr>
        <w:pStyle w:val="3"/>
        <w:spacing w:line="255" w:lineRule="auto"/>
        <w:rPr>
          <w:rFonts w:ascii="Times New Roman" w:hAnsi="Times New Roman"/>
        </w:rPr>
      </w:pPr>
    </w:p>
    <w:p w14:paraId="32D0ABE9">
      <w:pPr>
        <w:spacing w:before="92" w:line="220" w:lineRule="auto"/>
        <w:ind w:left="3747" w:firstLine="267" w:firstLineChars="100"/>
        <w:rPr>
          <w:rFonts w:ascii="Times New Roman" w:hAnsi="Times New Roman" w:eastAsia="宋体" w:cs="宋体"/>
          <w:sz w:val="28"/>
          <w:szCs w:val="28"/>
        </w:rPr>
      </w:pPr>
      <w:r>
        <w:rPr>
          <w:rFonts w:ascii="Times New Roman" w:hAnsi="Times New Roman" w:eastAsia="宋体" w:cs="宋体"/>
          <w:b/>
          <w:bCs/>
          <w:spacing w:val="-7"/>
          <w:sz w:val="28"/>
          <w:szCs w:val="28"/>
        </w:rPr>
        <w:t>202</w:t>
      </w:r>
      <w:r>
        <w:rPr>
          <w:rFonts w:hint="eastAsia" w:ascii="Times New Roman" w:hAnsi="Times New Roman" w:eastAsia="宋体" w:cs="宋体"/>
          <w:b/>
          <w:bCs/>
          <w:spacing w:val="-7"/>
          <w:sz w:val="28"/>
          <w:szCs w:val="28"/>
          <w:lang w:val="en-US" w:eastAsia="zh-CN"/>
        </w:rPr>
        <w:t>5</w:t>
      </w:r>
      <w:r>
        <w:rPr>
          <w:rFonts w:ascii="Times New Roman" w:hAnsi="Times New Roman" w:eastAsia="宋体" w:cs="宋体"/>
          <w:spacing w:val="-58"/>
          <w:sz w:val="28"/>
          <w:szCs w:val="28"/>
        </w:rPr>
        <w:t xml:space="preserve"> </w:t>
      </w:r>
      <w:r>
        <w:rPr>
          <w:rFonts w:ascii="Times New Roman" w:hAnsi="Times New Roman" w:eastAsia="宋体" w:cs="宋体"/>
          <w:b/>
          <w:bCs/>
          <w:spacing w:val="-7"/>
          <w:sz w:val="28"/>
          <w:szCs w:val="28"/>
        </w:rPr>
        <w:t>年</w:t>
      </w:r>
      <w:r>
        <w:rPr>
          <w:rFonts w:ascii="Times New Roman" w:hAnsi="Times New Roman" w:eastAsia="宋体" w:cs="宋体"/>
          <w:spacing w:val="-65"/>
          <w:sz w:val="28"/>
          <w:szCs w:val="28"/>
        </w:rPr>
        <w:t xml:space="preserve"> </w:t>
      </w:r>
      <w:r>
        <w:rPr>
          <w:rFonts w:hint="eastAsia" w:ascii="Times New Roman" w:hAnsi="Times New Roman" w:eastAsia="宋体" w:cs="宋体"/>
          <w:b/>
          <w:bCs/>
          <w:spacing w:val="-7"/>
          <w:sz w:val="28"/>
          <w:szCs w:val="28"/>
          <w:lang w:val="en-US" w:eastAsia="zh-CN"/>
        </w:rPr>
        <w:t>5</w:t>
      </w:r>
      <w:r>
        <w:rPr>
          <w:rFonts w:ascii="Times New Roman" w:hAnsi="Times New Roman" w:eastAsia="宋体" w:cs="宋体"/>
          <w:spacing w:val="-50"/>
          <w:sz w:val="28"/>
          <w:szCs w:val="28"/>
        </w:rPr>
        <w:t xml:space="preserve"> </w:t>
      </w:r>
      <w:r>
        <w:rPr>
          <w:rFonts w:ascii="Times New Roman" w:hAnsi="Times New Roman" w:eastAsia="宋体" w:cs="宋体"/>
          <w:b/>
          <w:bCs/>
          <w:spacing w:val="-7"/>
          <w:sz w:val="28"/>
          <w:szCs w:val="28"/>
        </w:rPr>
        <w:t>月</w:t>
      </w:r>
    </w:p>
    <w:p w14:paraId="1AC6D3C6">
      <w:pPr>
        <w:spacing w:line="220" w:lineRule="auto"/>
        <w:rPr>
          <w:rFonts w:ascii="Times New Roman" w:hAnsi="Times New Roman" w:eastAsia="宋体" w:cs="宋体"/>
          <w:sz w:val="28"/>
          <w:szCs w:val="28"/>
        </w:rPr>
        <w:sectPr>
          <w:pgSz w:w="11907" w:h="16839"/>
          <w:pgMar w:top="1431" w:right="1757" w:bottom="0" w:left="1478" w:header="0" w:footer="0" w:gutter="0"/>
          <w:cols w:space="720" w:num="1"/>
        </w:sectPr>
      </w:pPr>
    </w:p>
    <w:sdt>
      <w:sdtPr>
        <w:rPr>
          <w:rFonts w:ascii="宋体" w:hAnsi="宋体" w:eastAsia="宋体" w:cs="Arial"/>
          <w:snapToGrid w:val="0"/>
          <w:color w:val="000000"/>
          <w:kern w:val="0"/>
          <w:sz w:val="21"/>
          <w:szCs w:val="21"/>
          <w:lang w:val="en-US" w:eastAsia="en-US" w:bidi="ar-SA"/>
        </w:rPr>
        <w:id w:val="505785226"/>
        <w15:color w:val="DBDBDB"/>
        <w:docPartObj>
          <w:docPartGallery w:val="Table of Contents"/>
          <w:docPartUnique/>
        </w:docPartObj>
      </w:sdtPr>
      <w:sdtEndPr>
        <w:rPr>
          <w:rFonts w:ascii="Times New Roman" w:hAnsi="Times New Roman" w:eastAsia="宋体" w:cs="宋体"/>
          <w:snapToGrid w:val="0"/>
          <w:color w:val="000000"/>
          <w:kern w:val="0"/>
          <w:sz w:val="21"/>
          <w:szCs w:val="24"/>
          <w:lang w:val="en-US" w:eastAsia="en-US" w:bidi="ar-SA"/>
        </w:rPr>
      </w:sdtEndPr>
      <w:sdtContent>
        <w:p w14:paraId="7F2E8BC8">
          <w:pPr>
            <w:spacing w:before="0" w:beforeLines="0" w:after="0" w:afterLines="0" w:line="240" w:lineRule="auto"/>
            <w:ind w:left="0" w:leftChars="0" w:right="0" w:rightChars="0" w:firstLine="0" w:firstLineChars="0"/>
            <w:jc w:val="center"/>
            <w:rPr>
              <w:rFonts w:ascii="Times New Roman" w:hAnsi="Times New Roman" w:eastAsia="宋体" w:cs="宋体"/>
              <w:b/>
              <w:bCs/>
              <w:color w:val="365F91"/>
              <w:spacing w:val="-46"/>
              <w:sz w:val="36"/>
              <w:szCs w:val="36"/>
            </w:rPr>
          </w:pPr>
          <w:bookmarkStart w:id="41" w:name="_GoBack"/>
          <w:bookmarkEnd w:id="41"/>
          <w:r>
            <w:rPr>
              <w:rFonts w:ascii="Times New Roman" w:hAnsi="Times New Roman" w:eastAsia="宋体" w:cs="宋体"/>
              <w:b/>
              <w:bCs/>
              <w:color w:val="365F91"/>
              <w:spacing w:val="-46"/>
              <w:sz w:val="36"/>
              <w:szCs w:val="36"/>
            </w:rPr>
            <w:t>目</w:t>
          </w:r>
          <w:r>
            <w:rPr>
              <w:rFonts w:hint="eastAsia" w:ascii="Times New Roman" w:hAnsi="Times New Roman" w:eastAsia="宋体" w:cs="宋体"/>
              <w:b/>
              <w:bCs/>
              <w:color w:val="365F91"/>
              <w:spacing w:val="-46"/>
              <w:sz w:val="36"/>
              <w:szCs w:val="36"/>
              <w:lang w:val="en-US" w:eastAsia="zh-CN"/>
            </w:rPr>
            <w:t xml:space="preserve">    </w:t>
          </w:r>
          <w:r>
            <w:rPr>
              <w:rFonts w:ascii="Times New Roman" w:hAnsi="Times New Roman" w:eastAsia="宋体" w:cs="宋体"/>
              <w:b/>
              <w:bCs/>
              <w:color w:val="365F91"/>
              <w:spacing w:val="-46"/>
              <w:sz w:val="36"/>
              <w:szCs w:val="36"/>
            </w:rPr>
            <w:t>录</w:t>
          </w:r>
        </w:p>
        <w:p w14:paraId="21CADCF4">
          <w:pPr>
            <w:spacing w:before="0" w:beforeLines="0" w:after="0" w:afterLines="0" w:line="240" w:lineRule="auto"/>
            <w:ind w:left="0" w:leftChars="0" w:right="0" w:rightChars="0" w:firstLine="0" w:firstLineChars="0"/>
            <w:jc w:val="both"/>
            <w:rPr>
              <w:rFonts w:ascii="Times New Roman" w:hAnsi="Times New Roman" w:eastAsia="宋体" w:cs="宋体"/>
              <w:b/>
              <w:bCs/>
              <w:color w:val="365F91"/>
              <w:spacing w:val="-46"/>
              <w:sz w:val="36"/>
              <w:szCs w:val="36"/>
            </w:rPr>
          </w:pPr>
        </w:p>
        <w:p w14:paraId="49E5757C">
          <w:pPr>
            <w:pStyle w:val="12"/>
            <w:tabs>
              <w:tab w:val="right" w:leader="dot" w:pos="8940"/>
            </w:tabs>
            <w:rPr>
              <w:rFonts w:ascii="Times New Roman" w:hAnsi="Times New Roman" w:eastAsia="宋体"/>
              <w:b/>
              <w:bCs/>
              <w:sz w:val="24"/>
              <w:szCs w:val="24"/>
            </w:rPr>
          </w:pPr>
          <w:r>
            <w:rPr>
              <w:rFonts w:ascii="Times New Roman" w:hAnsi="Times New Roman" w:eastAsia="宋体" w:cs="宋体"/>
              <w:sz w:val="24"/>
              <w:szCs w:val="24"/>
            </w:rPr>
            <w:fldChar w:fldCharType="begin"/>
          </w:r>
          <w:r>
            <w:rPr>
              <w:rFonts w:ascii="Times New Roman" w:hAnsi="Times New Roman" w:eastAsia="宋体" w:cs="宋体"/>
              <w:sz w:val="24"/>
              <w:szCs w:val="24"/>
            </w:rPr>
            <w:instrText xml:space="preserve">TOC \o "1-3" \h \u </w:instrText>
          </w:r>
          <w:r>
            <w:rPr>
              <w:rFonts w:ascii="Times New Roman" w:hAnsi="Times New Roman" w:eastAsia="宋体" w:cs="宋体"/>
              <w:sz w:val="24"/>
              <w:szCs w:val="24"/>
            </w:rPr>
            <w:fldChar w:fldCharType="separate"/>
          </w:r>
        </w:p>
        <w:p w14:paraId="3E0F66C9">
          <w:pPr>
            <w:pStyle w:val="12"/>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_Toc1084172685 </w:instrText>
          </w:r>
          <w:r>
            <w:rPr>
              <w:rFonts w:ascii="Times New Roman" w:hAnsi="Times New Roman" w:eastAsia="宋体" w:cs="宋体"/>
              <w:b/>
              <w:bCs/>
              <w:sz w:val="24"/>
              <w:szCs w:val="24"/>
            </w:rPr>
            <w:fldChar w:fldCharType="separate"/>
          </w:r>
          <w:r>
            <w:rPr>
              <w:rFonts w:hint="default" w:ascii="Times New Roman" w:hAnsi="Times New Roman" w:eastAsia="宋体" w:cs="Times New Roman"/>
              <w:b/>
              <w:bCs/>
              <w:snapToGrid/>
              <w:kern w:val="2"/>
              <w:sz w:val="24"/>
              <w:szCs w:val="24"/>
              <w:lang w:val="en-US" w:eastAsia="zh-CN"/>
            </w:rPr>
            <w:t>一、工作简介</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_Toc1084172685 \h </w:instrText>
          </w:r>
          <w:r>
            <w:rPr>
              <w:rFonts w:ascii="Times New Roman" w:hAnsi="Times New Roman" w:eastAsia="宋体"/>
              <w:b/>
              <w:bCs/>
              <w:sz w:val="24"/>
              <w:szCs w:val="24"/>
            </w:rPr>
            <w:fldChar w:fldCharType="separate"/>
          </w:r>
          <w:r>
            <w:rPr>
              <w:rFonts w:ascii="Times New Roman" w:hAnsi="Times New Roman" w:eastAsia="宋体"/>
              <w:b/>
              <w:bCs/>
              <w:sz w:val="24"/>
              <w:szCs w:val="24"/>
            </w:rPr>
            <w:t>1</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3F802C0C">
          <w:pPr>
            <w:pStyle w:val="13"/>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_Toc1068316201 </w:instrText>
          </w:r>
          <w:r>
            <w:rPr>
              <w:rFonts w:ascii="Times New Roman" w:hAnsi="Times New Roman" w:eastAsia="宋体" w:cs="宋体"/>
              <w:b/>
              <w:bCs/>
              <w:sz w:val="24"/>
              <w:szCs w:val="24"/>
            </w:rPr>
            <w:fldChar w:fldCharType="separate"/>
          </w:r>
          <w:r>
            <w:rPr>
              <w:rFonts w:hint="default" w:ascii="Times New Roman" w:hAnsi="Times New Roman" w:eastAsia="宋体" w:cs="Times New Roman"/>
              <w:b/>
              <w:bCs/>
              <w:snapToGrid/>
              <w:kern w:val="0"/>
              <w:sz w:val="24"/>
              <w:szCs w:val="24"/>
              <w:lang w:val="en-US" w:eastAsia="zh-CN"/>
            </w:rPr>
            <w:t>（一）任务来源</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_Toc1068316201 \h </w:instrText>
          </w:r>
          <w:r>
            <w:rPr>
              <w:rFonts w:ascii="Times New Roman" w:hAnsi="Times New Roman" w:eastAsia="宋体"/>
              <w:b/>
              <w:bCs/>
              <w:sz w:val="24"/>
              <w:szCs w:val="24"/>
            </w:rPr>
            <w:fldChar w:fldCharType="separate"/>
          </w:r>
          <w:r>
            <w:rPr>
              <w:rFonts w:ascii="Times New Roman" w:hAnsi="Times New Roman" w:eastAsia="宋体"/>
              <w:b/>
              <w:bCs/>
              <w:sz w:val="24"/>
              <w:szCs w:val="24"/>
            </w:rPr>
            <w:t>1</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7E1D43EF">
          <w:pPr>
            <w:pStyle w:val="13"/>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_Toc1635406056 </w:instrText>
          </w:r>
          <w:r>
            <w:rPr>
              <w:rFonts w:ascii="Times New Roman" w:hAnsi="Times New Roman" w:eastAsia="宋体" w:cs="宋体"/>
              <w:b/>
              <w:bCs/>
              <w:sz w:val="24"/>
              <w:szCs w:val="24"/>
            </w:rPr>
            <w:fldChar w:fldCharType="separate"/>
          </w:r>
          <w:r>
            <w:rPr>
              <w:rFonts w:hint="default" w:ascii="Times New Roman" w:hAnsi="Times New Roman" w:eastAsia="宋体" w:cs="Times New Roman"/>
              <w:b/>
              <w:bCs/>
              <w:snapToGrid/>
              <w:kern w:val="0"/>
              <w:sz w:val="24"/>
              <w:szCs w:val="24"/>
              <w:lang w:val="en-US" w:eastAsia="zh-CN"/>
            </w:rPr>
            <w:t>（二）制定标准的必要性和意义</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_Toc1635406056 \h </w:instrText>
          </w:r>
          <w:r>
            <w:rPr>
              <w:rFonts w:ascii="Times New Roman" w:hAnsi="Times New Roman" w:eastAsia="宋体"/>
              <w:b/>
              <w:bCs/>
              <w:sz w:val="24"/>
              <w:szCs w:val="24"/>
            </w:rPr>
            <w:fldChar w:fldCharType="separate"/>
          </w:r>
          <w:r>
            <w:rPr>
              <w:rFonts w:ascii="Times New Roman" w:hAnsi="Times New Roman" w:eastAsia="宋体"/>
              <w:b/>
              <w:bCs/>
              <w:sz w:val="24"/>
              <w:szCs w:val="24"/>
            </w:rPr>
            <w:t>1</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256CA7F0">
          <w:pPr>
            <w:pStyle w:val="13"/>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_Toc529888764 </w:instrText>
          </w:r>
          <w:r>
            <w:rPr>
              <w:rFonts w:ascii="Times New Roman" w:hAnsi="Times New Roman" w:eastAsia="宋体" w:cs="宋体"/>
              <w:b/>
              <w:bCs/>
              <w:sz w:val="24"/>
              <w:szCs w:val="24"/>
            </w:rPr>
            <w:fldChar w:fldCharType="separate"/>
          </w:r>
          <w:r>
            <w:rPr>
              <w:rFonts w:hint="default" w:ascii="Times New Roman" w:hAnsi="Times New Roman" w:eastAsia="宋体" w:cs="Times New Roman"/>
              <w:b/>
              <w:bCs/>
              <w:snapToGrid/>
              <w:kern w:val="0"/>
              <w:sz w:val="24"/>
              <w:szCs w:val="24"/>
              <w:lang w:val="en-US" w:eastAsia="zh-CN"/>
            </w:rPr>
            <w:t>（三）起草单位</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_Toc529888764 \h </w:instrText>
          </w:r>
          <w:r>
            <w:rPr>
              <w:rFonts w:ascii="Times New Roman" w:hAnsi="Times New Roman" w:eastAsia="宋体"/>
              <w:b/>
              <w:bCs/>
              <w:sz w:val="24"/>
              <w:szCs w:val="24"/>
            </w:rPr>
            <w:fldChar w:fldCharType="separate"/>
          </w:r>
          <w:r>
            <w:rPr>
              <w:rFonts w:ascii="Times New Roman" w:hAnsi="Times New Roman" w:eastAsia="宋体"/>
              <w:b/>
              <w:bCs/>
              <w:sz w:val="24"/>
              <w:szCs w:val="24"/>
            </w:rPr>
            <w:t>2</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1C0D7C89">
          <w:pPr>
            <w:pStyle w:val="13"/>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_Toc61171626 </w:instrText>
          </w:r>
          <w:r>
            <w:rPr>
              <w:rFonts w:ascii="Times New Roman" w:hAnsi="Times New Roman" w:eastAsia="宋体" w:cs="宋体"/>
              <w:b/>
              <w:bCs/>
              <w:sz w:val="24"/>
              <w:szCs w:val="24"/>
            </w:rPr>
            <w:fldChar w:fldCharType="separate"/>
          </w:r>
          <w:r>
            <w:rPr>
              <w:rFonts w:hint="default" w:ascii="Times New Roman" w:hAnsi="Times New Roman" w:eastAsia="宋体" w:cs="Times New Roman"/>
              <w:b/>
              <w:bCs/>
              <w:snapToGrid/>
              <w:kern w:val="0"/>
              <w:sz w:val="24"/>
              <w:szCs w:val="24"/>
              <w:lang w:val="en-US" w:eastAsia="zh-CN"/>
            </w:rPr>
            <w:t>（</w:t>
          </w:r>
          <w:r>
            <w:rPr>
              <w:rFonts w:hint="eastAsia" w:ascii="Times New Roman" w:hAnsi="Times New Roman" w:eastAsia="宋体" w:cs="Times New Roman"/>
              <w:b/>
              <w:bCs/>
              <w:snapToGrid/>
              <w:kern w:val="0"/>
              <w:sz w:val="24"/>
              <w:szCs w:val="24"/>
              <w:lang w:val="en-US" w:eastAsia="zh-CN"/>
            </w:rPr>
            <w:t>四</w:t>
          </w:r>
          <w:r>
            <w:rPr>
              <w:rFonts w:hint="default" w:ascii="Times New Roman" w:hAnsi="Times New Roman" w:eastAsia="宋体" w:cs="Times New Roman"/>
              <w:b/>
              <w:bCs/>
              <w:snapToGrid/>
              <w:kern w:val="0"/>
              <w:sz w:val="24"/>
              <w:szCs w:val="24"/>
              <w:lang w:val="en-US" w:eastAsia="zh-CN"/>
            </w:rPr>
            <w:t>）主要起草人及其所做的工作</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_Toc61171626 \h </w:instrText>
          </w:r>
          <w:r>
            <w:rPr>
              <w:rFonts w:ascii="Times New Roman" w:hAnsi="Times New Roman" w:eastAsia="宋体"/>
              <w:b/>
              <w:bCs/>
              <w:sz w:val="24"/>
              <w:szCs w:val="24"/>
            </w:rPr>
            <w:fldChar w:fldCharType="separate"/>
          </w:r>
          <w:r>
            <w:rPr>
              <w:rFonts w:ascii="Times New Roman" w:hAnsi="Times New Roman" w:eastAsia="宋体"/>
              <w:b/>
              <w:bCs/>
              <w:sz w:val="24"/>
              <w:szCs w:val="24"/>
            </w:rPr>
            <w:t>2</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390AF8F2">
          <w:pPr>
            <w:pStyle w:val="13"/>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_Toc1800317246 </w:instrText>
          </w:r>
          <w:r>
            <w:rPr>
              <w:rFonts w:ascii="Times New Roman" w:hAnsi="Times New Roman" w:eastAsia="宋体" w:cs="宋体"/>
              <w:b/>
              <w:bCs/>
              <w:sz w:val="24"/>
              <w:szCs w:val="24"/>
            </w:rPr>
            <w:fldChar w:fldCharType="separate"/>
          </w:r>
          <w:r>
            <w:rPr>
              <w:rFonts w:hint="default" w:ascii="Times New Roman" w:hAnsi="Times New Roman" w:eastAsia="宋体" w:cs="Times New Roman"/>
              <w:b/>
              <w:bCs/>
              <w:snapToGrid/>
              <w:kern w:val="0"/>
              <w:sz w:val="24"/>
              <w:szCs w:val="24"/>
              <w:lang w:val="en-US" w:eastAsia="zh-CN"/>
            </w:rPr>
            <w:t>（</w:t>
          </w:r>
          <w:r>
            <w:rPr>
              <w:rFonts w:hint="eastAsia" w:ascii="Times New Roman" w:hAnsi="Times New Roman" w:eastAsia="宋体" w:cs="Times New Roman"/>
              <w:b/>
              <w:bCs/>
              <w:snapToGrid/>
              <w:kern w:val="0"/>
              <w:sz w:val="24"/>
              <w:szCs w:val="24"/>
              <w:lang w:val="en-US" w:eastAsia="zh-CN"/>
            </w:rPr>
            <w:t>五</w:t>
          </w:r>
          <w:r>
            <w:rPr>
              <w:rFonts w:hint="default" w:ascii="Times New Roman" w:hAnsi="Times New Roman" w:eastAsia="宋体" w:cs="Times New Roman"/>
              <w:b/>
              <w:bCs/>
              <w:snapToGrid/>
              <w:kern w:val="0"/>
              <w:sz w:val="24"/>
              <w:szCs w:val="24"/>
              <w:lang w:val="en-US" w:eastAsia="zh-CN"/>
            </w:rPr>
            <w:t>）主要工作过程</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_Toc1800317246 \h </w:instrText>
          </w:r>
          <w:r>
            <w:rPr>
              <w:rFonts w:ascii="Times New Roman" w:hAnsi="Times New Roman" w:eastAsia="宋体"/>
              <w:b/>
              <w:bCs/>
              <w:sz w:val="24"/>
              <w:szCs w:val="24"/>
            </w:rPr>
            <w:fldChar w:fldCharType="separate"/>
          </w:r>
          <w:r>
            <w:rPr>
              <w:rFonts w:ascii="Times New Roman" w:hAnsi="Times New Roman" w:eastAsia="宋体"/>
              <w:b/>
              <w:bCs/>
              <w:sz w:val="24"/>
              <w:szCs w:val="24"/>
            </w:rPr>
            <w:t>2</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683C4CF0">
          <w:pPr>
            <w:pStyle w:val="12"/>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_Toc919818906 </w:instrText>
          </w:r>
          <w:r>
            <w:rPr>
              <w:rFonts w:ascii="Times New Roman" w:hAnsi="Times New Roman" w:eastAsia="宋体" w:cs="宋体"/>
              <w:b/>
              <w:bCs/>
              <w:sz w:val="24"/>
              <w:szCs w:val="24"/>
            </w:rPr>
            <w:fldChar w:fldCharType="separate"/>
          </w:r>
          <w:r>
            <w:rPr>
              <w:rFonts w:hint="eastAsia" w:ascii="Times New Roman" w:hAnsi="Times New Roman" w:eastAsia="宋体" w:cs="黑体"/>
              <w:b/>
              <w:bCs/>
              <w:spacing w:val="7"/>
              <w:sz w:val="24"/>
              <w:szCs w:val="24"/>
              <w:highlight w:val="none"/>
            </w:rPr>
            <w:t>二、标准编制原则和确定地方标准主要内容的论据</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_Toc919818906 \h </w:instrText>
          </w:r>
          <w:r>
            <w:rPr>
              <w:rFonts w:ascii="Times New Roman" w:hAnsi="Times New Roman" w:eastAsia="宋体"/>
              <w:b/>
              <w:bCs/>
              <w:sz w:val="24"/>
              <w:szCs w:val="24"/>
            </w:rPr>
            <w:fldChar w:fldCharType="separate"/>
          </w:r>
          <w:r>
            <w:rPr>
              <w:rFonts w:ascii="Times New Roman" w:hAnsi="Times New Roman" w:eastAsia="宋体"/>
              <w:b/>
              <w:bCs/>
              <w:sz w:val="24"/>
              <w:szCs w:val="24"/>
            </w:rPr>
            <w:t>4</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56C5B53A">
          <w:pPr>
            <w:pStyle w:val="13"/>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_Toc1189422616 </w:instrText>
          </w:r>
          <w:r>
            <w:rPr>
              <w:rFonts w:ascii="Times New Roman" w:hAnsi="Times New Roman" w:eastAsia="宋体" w:cs="宋体"/>
              <w:b/>
              <w:bCs/>
              <w:sz w:val="24"/>
              <w:szCs w:val="24"/>
            </w:rPr>
            <w:fldChar w:fldCharType="separate"/>
          </w:r>
          <w:r>
            <w:rPr>
              <w:rFonts w:hint="eastAsia" w:ascii="Times New Roman" w:hAnsi="Times New Roman" w:eastAsia="宋体" w:cs="楷体"/>
              <w:b/>
              <w:bCs/>
              <w:spacing w:val="-13"/>
              <w:sz w:val="24"/>
              <w:szCs w:val="24"/>
              <w:highlight w:val="none"/>
            </w:rPr>
            <w:t>（一）编制原则</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_Toc1189422616 \h </w:instrText>
          </w:r>
          <w:r>
            <w:rPr>
              <w:rFonts w:ascii="Times New Roman" w:hAnsi="Times New Roman" w:eastAsia="宋体"/>
              <w:b/>
              <w:bCs/>
              <w:sz w:val="24"/>
              <w:szCs w:val="24"/>
            </w:rPr>
            <w:fldChar w:fldCharType="separate"/>
          </w:r>
          <w:r>
            <w:rPr>
              <w:rFonts w:ascii="Times New Roman" w:hAnsi="Times New Roman" w:eastAsia="宋体"/>
              <w:b/>
              <w:bCs/>
              <w:sz w:val="24"/>
              <w:szCs w:val="24"/>
            </w:rPr>
            <w:t>4</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13B59604">
          <w:pPr>
            <w:pStyle w:val="13"/>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_Toc95652319 </w:instrText>
          </w:r>
          <w:r>
            <w:rPr>
              <w:rFonts w:ascii="Times New Roman" w:hAnsi="Times New Roman" w:eastAsia="宋体" w:cs="宋体"/>
              <w:b/>
              <w:bCs/>
              <w:sz w:val="24"/>
              <w:szCs w:val="24"/>
            </w:rPr>
            <w:fldChar w:fldCharType="separate"/>
          </w:r>
          <w:r>
            <w:rPr>
              <w:rFonts w:hint="eastAsia" w:ascii="Times New Roman" w:hAnsi="Times New Roman" w:eastAsia="宋体" w:cs="楷体"/>
              <w:b/>
              <w:bCs/>
              <w:spacing w:val="-13"/>
              <w:sz w:val="24"/>
              <w:szCs w:val="24"/>
              <w:highlight w:val="none"/>
            </w:rPr>
            <w:t>（二）确定地方标准主要内容的论据</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_Toc95652319 \h </w:instrText>
          </w:r>
          <w:r>
            <w:rPr>
              <w:rFonts w:ascii="Times New Roman" w:hAnsi="Times New Roman" w:eastAsia="宋体"/>
              <w:b/>
              <w:bCs/>
              <w:sz w:val="24"/>
              <w:szCs w:val="24"/>
            </w:rPr>
            <w:fldChar w:fldCharType="separate"/>
          </w:r>
          <w:r>
            <w:rPr>
              <w:rFonts w:ascii="Times New Roman" w:hAnsi="Times New Roman" w:eastAsia="宋体"/>
              <w:b/>
              <w:bCs/>
              <w:sz w:val="24"/>
              <w:szCs w:val="24"/>
            </w:rPr>
            <w:t>6</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2E343781">
          <w:pPr>
            <w:pStyle w:val="12"/>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_Toc580330661 </w:instrText>
          </w:r>
          <w:r>
            <w:rPr>
              <w:rFonts w:ascii="Times New Roman" w:hAnsi="Times New Roman" w:eastAsia="宋体" w:cs="宋体"/>
              <w:b/>
              <w:bCs/>
              <w:sz w:val="24"/>
              <w:szCs w:val="24"/>
            </w:rPr>
            <w:fldChar w:fldCharType="separate"/>
          </w:r>
          <w:r>
            <w:rPr>
              <w:rFonts w:hint="eastAsia" w:ascii="Times New Roman" w:hAnsi="Times New Roman" w:eastAsia="宋体" w:cs="黑体"/>
              <w:b/>
              <w:bCs/>
              <w:spacing w:val="7"/>
              <w:sz w:val="24"/>
              <w:szCs w:val="24"/>
              <w:highlight w:val="none"/>
            </w:rPr>
            <w:t>三、主要试验（或验证）的分析、综述报告，技术经济论证，预期经济社会生态效益分析</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_Toc580330661 \h </w:instrText>
          </w:r>
          <w:r>
            <w:rPr>
              <w:rFonts w:ascii="Times New Roman" w:hAnsi="Times New Roman" w:eastAsia="宋体"/>
              <w:b/>
              <w:bCs/>
              <w:sz w:val="24"/>
              <w:szCs w:val="24"/>
            </w:rPr>
            <w:fldChar w:fldCharType="separate"/>
          </w:r>
          <w:r>
            <w:rPr>
              <w:rFonts w:ascii="Times New Roman" w:hAnsi="Times New Roman" w:eastAsia="宋体"/>
              <w:b/>
              <w:bCs/>
              <w:sz w:val="24"/>
              <w:szCs w:val="24"/>
            </w:rPr>
            <w:t>6</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5EE8602C">
          <w:pPr>
            <w:pStyle w:val="13"/>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_Toc468690303 </w:instrText>
          </w:r>
          <w:r>
            <w:rPr>
              <w:rFonts w:ascii="Times New Roman" w:hAnsi="Times New Roman" w:eastAsia="宋体" w:cs="宋体"/>
              <w:b/>
              <w:bCs/>
              <w:sz w:val="24"/>
              <w:szCs w:val="24"/>
            </w:rPr>
            <w:fldChar w:fldCharType="separate"/>
          </w:r>
          <w:r>
            <w:rPr>
              <w:rFonts w:hint="eastAsia" w:ascii="Times New Roman" w:hAnsi="Times New Roman" w:eastAsia="宋体" w:cs="楷体"/>
              <w:b/>
              <w:bCs/>
              <w:spacing w:val="-13"/>
              <w:sz w:val="24"/>
              <w:szCs w:val="24"/>
              <w:highlight w:val="none"/>
            </w:rPr>
            <w:t>（一）行业概述</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_Toc468690303 \h </w:instrText>
          </w:r>
          <w:r>
            <w:rPr>
              <w:rFonts w:ascii="Times New Roman" w:hAnsi="Times New Roman" w:eastAsia="宋体"/>
              <w:b/>
              <w:bCs/>
              <w:sz w:val="24"/>
              <w:szCs w:val="24"/>
            </w:rPr>
            <w:fldChar w:fldCharType="separate"/>
          </w:r>
          <w:r>
            <w:rPr>
              <w:rFonts w:ascii="Times New Roman" w:hAnsi="Times New Roman" w:eastAsia="宋体"/>
              <w:b/>
              <w:bCs/>
              <w:sz w:val="24"/>
              <w:szCs w:val="24"/>
            </w:rPr>
            <w:t>6</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68BDD5CE">
          <w:pPr>
            <w:pStyle w:val="13"/>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_Toc1613563317 </w:instrText>
          </w:r>
          <w:r>
            <w:rPr>
              <w:rFonts w:ascii="Times New Roman" w:hAnsi="Times New Roman" w:eastAsia="宋体" w:cs="宋体"/>
              <w:b/>
              <w:bCs/>
              <w:sz w:val="24"/>
              <w:szCs w:val="24"/>
            </w:rPr>
            <w:fldChar w:fldCharType="separate"/>
          </w:r>
          <w:r>
            <w:rPr>
              <w:rFonts w:hint="eastAsia" w:ascii="Times New Roman" w:hAnsi="Times New Roman" w:eastAsia="宋体" w:cs="楷体"/>
              <w:b/>
              <w:bCs/>
              <w:spacing w:val="-13"/>
              <w:sz w:val="24"/>
              <w:szCs w:val="24"/>
              <w:highlight w:val="none"/>
              <w:lang w:val="en-US" w:eastAsia="zh-CN"/>
            </w:rPr>
            <w:t>（二）本标准参考的文献</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_Toc1613563317 \h </w:instrText>
          </w:r>
          <w:r>
            <w:rPr>
              <w:rFonts w:ascii="Times New Roman" w:hAnsi="Times New Roman" w:eastAsia="宋体"/>
              <w:b/>
              <w:bCs/>
              <w:sz w:val="24"/>
              <w:szCs w:val="24"/>
            </w:rPr>
            <w:fldChar w:fldCharType="separate"/>
          </w:r>
          <w:r>
            <w:rPr>
              <w:rFonts w:ascii="Times New Roman" w:hAnsi="Times New Roman" w:eastAsia="宋体"/>
              <w:b/>
              <w:bCs/>
              <w:sz w:val="24"/>
              <w:szCs w:val="24"/>
            </w:rPr>
            <w:t>8</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2024D898">
          <w:pPr>
            <w:pStyle w:val="13"/>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_Toc115000233 </w:instrText>
          </w:r>
          <w:r>
            <w:rPr>
              <w:rFonts w:ascii="Times New Roman" w:hAnsi="Times New Roman" w:eastAsia="宋体" w:cs="宋体"/>
              <w:b/>
              <w:bCs/>
              <w:sz w:val="24"/>
              <w:szCs w:val="24"/>
            </w:rPr>
            <w:fldChar w:fldCharType="separate"/>
          </w:r>
          <w:r>
            <w:rPr>
              <w:rFonts w:hint="eastAsia" w:ascii="Times New Roman" w:hAnsi="Times New Roman" w:eastAsia="宋体" w:cs="楷体"/>
              <w:b/>
              <w:bCs/>
              <w:spacing w:val="-3"/>
              <w:sz w:val="24"/>
              <w:szCs w:val="24"/>
              <w:highlight w:val="none"/>
            </w:rPr>
            <w:t>（三）社会效益</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_Toc115000233 \h </w:instrText>
          </w:r>
          <w:r>
            <w:rPr>
              <w:rFonts w:ascii="Times New Roman" w:hAnsi="Times New Roman" w:eastAsia="宋体"/>
              <w:b/>
              <w:bCs/>
              <w:sz w:val="24"/>
              <w:szCs w:val="24"/>
            </w:rPr>
            <w:fldChar w:fldCharType="separate"/>
          </w:r>
          <w:r>
            <w:rPr>
              <w:rFonts w:ascii="Times New Roman" w:hAnsi="Times New Roman" w:eastAsia="宋体"/>
              <w:b/>
              <w:bCs/>
              <w:sz w:val="24"/>
              <w:szCs w:val="24"/>
            </w:rPr>
            <w:t>8</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0F0E963C">
          <w:pPr>
            <w:pStyle w:val="12"/>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_Toc1507367815 </w:instrText>
          </w:r>
          <w:r>
            <w:rPr>
              <w:rFonts w:ascii="Times New Roman" w:hAnsi="Times New Roman" w:eastAsia="宋体" w:cs="宋体"/>
              <w:b/>
              <w:bCs/>
              <w:sz w:val="24"/>
              <w:szCs w:val="24"/>
            </w:rPr>
            <w:fldChar w:fldCharType="separate"/>
          </w:r>
          <w:r>
            <w:rPr>
              <w:rFonts w:hint="eastAsia" w:ascii="Times New Roman" w:hAnsi="Times New Roman" w:eastAsia="宋体" w:cs="黑体"/>
              <w:b/>
              <w:bCs/>
              <w:spacing w:val="5"/>
              <w:sz w:val="24"/>
              <w:szCs w:val="24"/>
              <w:highlight w:val="none"/>
            </w:rPr>
            <w:t>四、与有关的现行法律、法规和国家标准、行业标准、地方标准</w:t>
          </w:r>
          <w:r>
            <w:rPr>
              <w:rFonts w:hint="eastAsia" w:ascii="Times New Roman" w:hAnsi="Times New Roman" w:eastAsia="宋体" w:cs="黑体"/>
              <w:b/>
              <w:bCs/>
              <w:spacing w:val="-3"/>
              <w:sz w:val="24"/>
              <w:szCs w:val="24"/>
              <w:highlight w:val="none"/>
            </w:rPr>
            <w:t>的关系</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_Toc1507367815 \h </w:instrText>
          </w:r>
          <w:r>
            <w:rPr>
              <w:rFonts w:ascii="Times New Roman" w:hAnsi="Times New Roman" w:eastAsia="宋体"/>
              <w:b/>
              <w:bCs/>
              <w:sz w:val="24"/>
              <w:szCs w:val="24"/>
            </w:rPr>
            <w:fldChar w:fldCharType="separate"/>
          </w:r>
          <w:r>
            <w:rPr>
              <w:rFonts w:ascii="Times New Roman" w:hAnsi="Times New Roman" w:eastAsia="宋体"/>
              <w:b/>
              <w:bCs/>
              <w:sz w:val="24"/>
              <w:szCs w:val="24"/>
            </w:rPr>
            <w:t>9</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3A2EC8CC">
          <w:pPr>
            <w:pStyle w:val="12"/>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_Toc1160948073 </w:instrText>
          </w:r>
          <w:r>
            <w:rPr>
              <w:rFonts w:ascii="Times New Roman" w:hAnsi="Times New Roman" w:eastAsia="宋体" w:cs="宋体"/>
              <w:b/>
              <w:bCs/>
              <w:sz w:val="24"/>
              <w:szCs w:val="24"/>
            </w:rPr>
            <w:fldChar w:fldCharType="separate"/>
          </w:r>
          <w:r>
            <w:rPr>
              <w:rFonts w:hint="eastAsia" w:ascii="Times New Roman" w:hAnsi="Times New Roman" w:eastAsia="宋体" w:cs="黑体"/>
              <w:b/>
              <w:bCs/>
              <w:spacing w:val="-4"/>
              <w:sz w:val="24"/>
              <w:szCs w:val="24"/>
              <w:highlight w:val="none"/>
            </w:rPr>
            <w:t>五、征求意见和分歧处理情况，应说明未采纳意见依据以及同意见提出人</w:t>
          </w:r>
          <w:r>
            <w:rPr>
              <w:rFonts w:hint="eastAsia" w:ascii="Times New Roman" w:hAnsi="Times New Roman" w:eastAsia="宋体" w:cs="黑体"/>
              <w:b/>
              <w:bCs/>
              <w:spacing w:val="-5"/>
              <w:sz w:val="24"/>
              <w:szCs w:val="24"/>
              <w:highlight w:val="none"/>
            </w:rPr>
            <w:t>的沟通反馈情况</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_Toc1160948073 \h </w:instrText>
          </w:r>
          <w:r>
            <w:rPr>
              <w:rFonts w:ascii="Times New Roman" w:hAnsi="Times New Roman" w:eastAsia="宋体"/>
              <w:b/>
              <w:bCs/>
              <w:sz w:val="24"/>
              <w:szCs w:val="24"/>
            </w:rPr>
            <w:fldChar w:fldCharType="separate"/>
          </w:r>
          <w:r>
            <w:rPr>
              <w:rFonts w:ascii="Times New Roman" w:hAnsi="Times New Roman" w:eastAsia="宋体"/>
              <w:b/>
              <w:bCs/>
              <w:sz w:val="24"/>
              <w:szCs w:val="24"/>
            </w:rPr>
            <w:t>9</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5BC0F32E">
          <w:pPr>
            <w:pStyle w:val="12"/>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_Toc737351900 </w:instrText>
          </w:r>
          <w:r>
            <w:rPr>
              <w:rFonts w:ascii="Times New Roman" w:hAnsi="Times New Roman" w:eastAsia="宋体" w:cs="宋体"/>
              <w:b/>
              <w:bCs/>
              <w:sz w:val="24"/>
              <w:szCs w:val="24"/>
            </w:rPr>
            <w:fldChar w:fldCharType="separate"/>
          </w:r>
          <w:r>
            <w:rPr>
              <w:rFonts w:hint="eastAsia" w:ascii="Times New Roman" w:hAnsi="Times New Roman" w:eastAsia="宋体" w:cs="黑体"/>
              <w:b/>
              <w:bCs/>
              <w:spacing w:val="-4"/>
              <w:sz w:val="24"/>
              <w:szCs w:val="24"/>
              <w:highlight w:val="none"/>
            </w:rPr>
            <w:t>六、推动标准实施的措施建议</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_Toc737351900 \h </w:instrText>
          </w:r>
          <w:r>
            <w:rPr>
              <w:rFonts w:ascii="Times New Roman" w:hAnsi="Times New Roman" w:eastAsia="宋体"/>
              <w:b/>
              <w:bCs/>
              <w:sz w:val="24"/>
              <w:szCs w:val="24"/>
            </w:rPr>
            <w:fldChar w:fldCharType="separate"/>
          </w:r>
          <w:r>
            <w:rPr>
              <w:rFonts w:ascii="Times New Roman" w:hAnsi="Times New Roman" w:eastAsia="宋体"/>
              <w:b/>
              <w:bCs/>
              <w:sz w:val="24"/>
              <w:szCs w:val="24"/>
            </w:rPr>
            <w:t>9</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7D88C382">
          <w:pPr>
            <w:pStyle w:val="12"/>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rPr>
              <w:rFonts w:ascii="Times New Roman" w:hAnsi="Times New Roman" w:eastAsia="宋体"/>
              <w:b/>
              <w:bCs/>
              <w:sz w:val="24"/>
              <w:szCs w:val="24"/>
            </w:rPr>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_Toc1001524724 </w:instrText>
          </w:r>
          <w:r>
            <w:rPr>
              <w:rFonts w:ascii="Times New Roman" w:hAnsi="Times New Roman" w:eastAsia="宋体" w:cs="宋体"/>
              <w:b/>
              <w:bCs/>
              <w:sz w:val="24"/>
              <w:szCs w:val="24"/>
            </w:rPr>
            <w:fldChar w:fldCharType="separate"/>
          </w:r>
          <w:r>
            <w:rPr>
              <w:rFonts w:hint="eastAsia" w:ascii="Times New Roman" w:hAnsi="Times New Roman" w:eastAsia="宋体" w:cs="黑体"/>
              <w:b/>
              <w:bCs/>
              <w:spacing w:val="-2"/>
              <w:sz w:val="24"/>
              <w:szCs w:val="24"/>
              <w:highlight w:val="none"/>
            </w:rPr>
            <w:t>七、拟作为强制性地方标准的须写明明确的法律法规依据</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_Toc1001524724 \h </w:instrText>
          </w:r>
          <w:r>
            <w:rPr>
              <w:rFonts w:ascii="Times New Roman" w:hAnsi="Times New Roman" w:eastAsia="宋体"/>
              <w:b/>
              <w:bCs/>
              <w:sz w:val="24"/>
              <w:szCs w:val="24"/>
            </w:rPr>
            <w:fldChar w:fldCharType="separate"/>
          </w:r>
          <w:r>
            <w:rPr>
              <w:rFonts w:ascii="Times New Roman" w:hAnsi="Times New Roman" w:eastAsia="宋体"/>
              <w:b/>
              <w:bCs/>
              <w:sz w:val="24"/>
              <w:szCs w:val="24"/>
            </w:rPr>
            <w:t>10</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049E71B4">
          <w:pPr>
            <w:pStyle w:val="12"/>
            <w:keepNext w:val="0"/>
            <w:keepLines w:val="0"/>
            <w:pageBreakBefore w:val="0"/>
            <w:widowControl/>
            <w:tabs>
              <w:tab w:val="right" w:leader="dot" w:pos="8940"/>
            </w:tabs>
            <w:kinsoku/>
            <w:wordWrap/>
            <w:overflowPunct/>
            <w:topLinePunct w:val="0"/>
            <w:autoSpaceDE/>
            <w:autoSpaceDN/>
            <w:bidi w:val="0"/>
            <w:adjustRightInd/>
            <w:snapToGrid/>
            <w:spacing w:line="360" w:lineRule="auto"/>
            <w:textAlignment w:val="auto"/>
          </w:pPr>
          <w:r>
            <w:rPr>
              <w:rFonts w:ascii="Times New Roman" w:hAnsi="Times New Roman" w:eastAsia="宋体" w:cs="宋体"/>
              <w:b/>
              <w:bCs/>
              <w:sz w:val="24"/>
              <w:szCs w:val="24"/>
            </w:rPr>
            <w:fldChar w:fldCharType="begin"/>
          </w:r>
          <w:r>
            <w:rPr>
              <w:rFonts w:ascii="Times New Roman" w:hAnsi="Times New Roman" w:eastAsia="宋体" w:cs="宋体"/>
              <w:b/>
              <w:bCs/>
              <w:sz w:val="24"/>
              <w:szCs w:val="24"/>
            </w:rPr>
            <w:instrText xml:space="preserve"> HYPERLINK \l _Toc1879205101 </w:instrText>
          </w:r>
          <w:r>
            <w:rPr>
              <w:rFonts w:ascii="Times New Roman" w:hAnsi="Times New Roman" w:eastAsia="宋体" w:cs="宋体"/>
              <w:b/>
              <w:bCs/>
              <w:sz w:val="24"/>
              <w:szCs w:val="24"/>
            </w:rPr>
            <w:fldChar w:fldCharType="separate"/>
          </w:r>
          <w:r>
            <w:rPr>
              <w:rFonts w:hint="eastAsia" w:ascii="Times New Roman" w:hAnsi="Times New Roman" w:eastAsia="宋体" w:cs="黑体"/>
              <w:b/>
              <w:bCs/>
              <w:spacing w:val="-2"/>
              <w:sz w:val="24"/>
              <w:szCs w:val="24"/>
              <w:highlight w:val="none"/>
            </w:rPr>
            <w:t>八、其他应说明的事项</w:t>
          </w:r>
          <w:r>
            <w:rPr>
              <w:rFonts w:ascii="Times New Roman" w:hAnsi="Times New Roman" w:eastAsia="宋体"/>
              <w:b/>
              <w:bCs/>
              <w:sz w:val="24"/>
              <w:szCs w:val="24"/>
            </w:rPr>
            <w:tab/>
          </w:r>
          <w:r>
            <w:rPr>
              <w:rFonts w:ascii="Times New Roman" w:hAnsi="Times New Roman" w:eastAsia="宋体"/>
              <w:b/>
              <w:bCs/>
              <w:sz w:val="24"/>
              <w:szCs w:val="24"/>
            </w:rPr>
            <w:fldChar w:fldCharType="begin"/>
          </w:r>
          <w:r>
            <w:rPr>
              <w:rFonts w:ascii="Times New Roman" w:hAnsi="Times New Roman" w:eastAsia="宋体"/>
              <w:b/>
              <w:bCs/>
              <w:sz w:val="24"/>
              <w:szCs w:val="24"/>
            </w:rPr>
            <w:instrText xml:space="preserve"> PAGEREF _Toc1879205101 \h </w:instrText>
          </w:r>
          <w:r>
            <w:rPr>
              <w:rFonts w:ascii="Times New Roman" w:hAnsi="Times New Roman" w:eastAsia="宋体"/>
              <w:b/>
              <w:bCs/>
              <w:sz w:val="24"/>
              <w:szCs w:val="24"/>
            </w:rPr>
            <w:fldChar w:fldCharType="separate"/>
          </w:r>
          <w:r>
            <w:rPr>
              <w:rFonts w:ascii="Times New Roman" w:hAnsi="Times New Roman" w:eastAsia="宋体"/>
              <w:b/>
              <w:bCs/>
              <w:sz w:val="24"/>
              <w:szCs w:val="24"/>
            </w:rPr>
            <w:t>10</w:t>
          </w:r>
          <w:r>
            <w:rPr>
              <w:rFonts w:ascii="Times New Roman" w:hAnsi="Times New Roman" w:eastAsia="宋体"/>
              <w:b/>
              <w:bCs/>
              <w:sz w:val="24"/>
              <w:szCs w:val="24"/>
            </w:rPr>
            <w:fldChar w:fldCharType="end"/>
          </w:r>
          <w:r>
            <w:rPr>
              <w:rFonts w:ascii="Times New Roman" w:hAnsi="Times New Roman" w:eastAsia="宋体" w:cs="宋体"/>
              <w:b/>
              <w:bCs/>
              <w:sz w:val="24"/>
              <w:szCs w:val="24"/>
            </w:rPr>
            <w:fldChar w:fldCharType="end"/>
          </w:r>
        </w:p>
        <w:p w14:paraId="73421508">
          <w:pPr>
            <w:spacing w:line="219" w:lineRule="auto"/>
            <w:rPr>
              <w:rFonts w:ascii="Times New Roman" w:hAnsi="Times New Roman" w:eastAsia="宋体" w:cs="宋体"/>
              <w:snapToGrid w:val="0"/>
              <w:color w:val="000000"/>
              <w:kern w:val="0"/>
              <w:sz w:val="21"/>
              <w:szCs w:val="24"/>
              <w:lang w:val="en-US" w:eastAsia="en-US" w:bidi="ar-SA"/>
            </w:rPr>
          </w:pPr>
          <w:r>
            <w:rPr>
              <w:rFonts w:ascii="Times New Roman" w:hAnsi="Times New Roman" w:eastAsia="宋体" w:cs="宋体"/>
              <w:szCs w:val="24"/>
            </w:rPr>
            <w:fldChar w:fldCharType="end"/>
          </w:r>
        </w:p>
      </w:sdtContent>
    </w:sdt>
    <w:p w14:paraId="5DAAF29C">
      <w:pPr>
        <w:spacing w:line="219" w:lineRule="auto"/>
        <w:rPr>
          <w:rFonts w:ascii="Times New Roman" w:hAnsi="Times New Roman" w:eastAsia="宋体" w:cs="宋体"/>
          <w:snapToGrid w:val="0"/>
          <w:color w:val="000000"/>
          <w:kern w:val="0"/>
          <w:sz w:val="21"/>
          <w:szCs w:val="24"/>
          <w:lang w:val="en-US" w:eastAsia="en-US" w:bidi="ar-SA"/>
        </w:rPr>
        <w:sectPr>
          <w:pgSz w:w="11907" w:h="16839"/>
          <w:pgMar w:top="1431" w:right="1485" w:bottom="0" w:left="1482" w:header="0" w:footer="0" w:gutter="0"/>
          <w:cols w:space="720" w:num="1"/>
        </w:sectPr>
      </w:pPr>
    </w:p>
    <w:p w14:paraId="2539736C">
      <w:pPr>
        <w:keepNext w:val="0"/>
        <w:keepLines w:val="0"/>
        <w:pageBreakBefore w:val="0"/>
        <w:widowControl w:val="0"/>
        <w:kinsoku/>
        <w:wordWrap/>
        <w:overflowPunct/>
        <w:topLinePunct w:val="0"/>
        <w:autoSpaceDE/>
        <w:autoSpaceDN/>
        <w:bidi w:val="0"/>
        <w:adjustRightInd/>
        <w:snapToGrid/>
        <w:spacing w:line="660" w:lineRule="exact"/>
        <w:jc w:val="center"/>
        <w:textAlignment w:val="auto"/>
        <w:outlineLvl w:val="0"/>
        <w:rPr>
          <w:rFonts w:hint="default" w:ascii="Times New Roman" w:hAnsi="Times New Roman" w:eastAsia="方正小标宋简体" w:cs="Times New Roman"/>
          <w:b w:val="0"/>
          <w:bCs w:val="0"/>
          <w:i w:val="0"/>
          <w:iCs w:val="0"/>
          <w:snapToGrid/>
          <w:color w:val="auto"/>
          <w:kern w:val="2"/>
          <w:sz w:val="44"/>
          <w:szCs w:val="44"/>
          <w:highlight w:val="none"/>
          <w:lang w:val="en-US" w:eastAsia="zh-CN"/>
        </w:rPr>
      </w:pPr>
      <w:bookmarkStart w:id="1" w:name="bookmark20"/>
      <w:bookmarkEnd w:id="1"/>
      <w:bookmarkStart w:id="2" w:name="_Toc452431770"/>
      <w:r>
        <w:rPr>
          <w:rFonts w:hint="default" w:ascii="Times New Roman" w:hAnsi="Times New Roman" w:eastAsia="方正小标宋简体" w:cs="Times New Roman"/>
          <w:b w:val="0"/>
          <w:bCs w:val="0"/>
          <w:i w:val="0"/>
          <w:iCs w:val="0"/>
          <w:snapToGrid/>
          <w:color w:val="auto"/>
          <w:kern w:val="2"/>
          <w:sz w:val="44"/>
          <w:szCs w:val="44"/>
          <w:highlight w:val="none"/>
          <w:lang w:val="en-US" w:eastAsia="zh-CN"/>
        </w:rPr>
        <w:t>辽宁省地方标准《</w:t>
      </w:r>
      <w:r>
        <w:rPr>
          <w:rFonts w:hint="eastAsia" w:ascii="Times New Roman" w:hAnsi="Times New Roman" w:eastAsia="方正小标宋简体" w:cs="Times New Roman"/>
          <w:b w:val="0"/>
          <w:bCs w:val="0"/>
          <w:i w:val="0"/>
          <w:iCs w:val="0"/>
          <w:snapToGrid/>
          <w:color w:val="auto"/>
          <w:kern w:val="2"/>
          <w:sz w:val="44"/>
          <w:szCs w:val="44"/>
          <w:highlight w:val="none"/>
          <w:lang w:val="en-US" w:eastAsia="zh-CN"/>
        </w:rPr>
        <w:t>媒介生物综合管理技术规范 鼠类防制 校园食堂</w:t>
      </w:r>
      <w:r>
        <w:rPr>
          <w:rFonts w:hint="default" w:ascii="Times New Roman" w:hAnsi="Times New Roman" w:eastAsia="方正小标宋简体" w:cs="Times New Roman"/>
          <w:b w:val="0"/>
          <w:bCs w:val="0"/>
          <w:i w:val="0"/>
          <w:iCs w:val="0"/>
          <w:snapToGrid/>
          <w:color w:val="auto"/>
          <w:kern w:val="2"/>
          <w:sz w:val="44"/>
          <w:szCs w:val="44"/>
          <w:highlight w:val="none"/>
          <w:lang w:val="en-US" w:eastAsia="zh-CN"/>
        </w:rPr>
        <w:t>》编制说明</w:t>
      </w:r>
      <w:bookmarkEnd w:id="2"/>
    </w:p>
    <w:p w14:paraId="50E2D772">
      <w:pPr>
        <w:pStyle w:val="3"/>
        <w:spacing w:line="258" w:lineRule="auto"/>
        <w:rPr>
          <w:rFonts w:ascii="Times New Roman" w:hAnsi="Times New Roman"/>
        </w:rPr>
      </w:pPr>
    </w:p>
    <w:p w14:paraId="79AF9B15">
      <w:pPr>
        <w:pStyle w:val="3"/>
        <w:spacing w:line="259" w:lineRule="auto"/>
        <w:rPr>
          <w:rFonts w:ascii="Times New Roman" w:hAnsi="Times New Roman"/>
        </w:rPr>
      </w:pPr>
    </w:p>
    <w:p w14:paraId="2C9527B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0"/>
        <w:rPr>
          <w:rFonts w:ascii="Times New Roman" w:hAnsi="Times New Roman"/>
          <w:sz w:val="32"/>
          <w:szCs w:val="32"/>
        </w:rPr>
      </w:pPr>
      <w:bookmarkStart w:id="3" w:name="_Toc1084172685"/>
      <w:r>
        <w:rPr>
          <w:rFonts w:hint="default" w:ascii="Times New Roman" w:hAnsi="Times New Roman" w:eastAsia="黑体" w:cs="Times New Roman"/>
          <w:snapToGrid/>
          <w:kern w:val="2"/>
          <w:sz w:val="32"/>
          <w:szCs w:val="32"/>
          <w:lang w:val="en-US" w:eastAsia="zh-CN"/>
        </w:rPr>
        <w:t>一、工作简介</w:t>
      </w:r>
      <w:bookmarkEnd w:id="3"/>
    </w:p>
    <w:p w14:paraId="2FA17E7E">
      <w:pPr>
        <w:keepNext w:val="0"/>
        <w:keepLines w:val="0"/>
        <w:pageBreakBefore w:val="0"/>
        <w:widowControl/>
        <w:numPr>
          <w:ilvl w:val="-1"/>
          <w:numId w:val="0"/>
        </w:numPr>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Times New Roman" w:hAnsi="Times New Roman" w:eastAsia="仿宋" w:cs="Times New Roman"/>
          <w:snapToGrid/>
          <w:sz w:val="32"/>
          <w:szCs w:val="32"/>
          <w:lang w:eastAsia="zh-CN"/>
        </w:rPr>
      </w:pPr>
      <w:bookmarkStart w:id="4" w:name="_Toc1068316201"/>
      <w:r>
        <w:rPr>
          <w:rFonts w:hint="default" w:ascii="Times New Roman" w:hAnsi="Times New Roman" w:eastAsia="楷体" w:cs="Times New Roman"/>
          <w:b w:val="0"/>
          <w:bCs w:val="0"/>
          <w:snapToGrid/>
          <w:kern w:val="0"/>
          <w:sz w:val="32"/>
          <w:szCs w:val="32"/>
          <w:lang w:val="en-US" w:eastAsia="zh-CN"/>
        </w:rPr>
        <w:t>（一）</w:t>
      </w:r>
      <w:r>
        <w:rPr>
          <w:rFonts w:hint="eastAsia" w:ascii="Times New Roman" w:hAnsi="Times New Roman" w:eastAsia="仿宋" w:cs="Times New Roman"/>
          <w:b w:val="0"/>
          <w:bCs w:val="0"/>
          <w:snapToGrid/>
          <w:kern w:val="0"/>
          <w:sz w:val="32"/>
          <w:szCs w:val="32"/>
          <w:lang w:val="en-US" w:eastAsia="zh-CN"/>
        </w:rPr>
        <w:t>任务来源</w:t>
      </w:r>
      <w:bookmarkEnd w:id="4"/>
    </w:p>
    <w:p w14:paraId="00EC3778">
      <w:pPr>
        <w:keepNext w:val="0"/>
        <w:keepLines w:val="0"/>
        <w:pageBreakBefore w:val="0"/>
        <w:wordWrap/>
        <w:overflowPunct/>
        <w:topLinePunct w:val="0"/>
        <w:bidi w:val="0"/>
        <w:spacing w:line="600" w:lineRule="exact"/>
        <w:ind w:firstLine="640" w:firstLineChars="200"/>
        <w:jc w:val="both"/>
        <w:rPr>
          <w:rFonts w:hint="eastAsia" w:ascii="Times New Roman" w:hAnsi="Times New Roman" w:eastAsia="仿宋" w:cs="Times New Roman"/>
          <w:snapToGrid/>
          <w:spacing w:val="0"/>
          <w:sz w:val="32"/>
          <w:szCs w:val="32"/>
          <w:lang w:eastAsia="zh-CN"/>
        </w:rPr>
      </w:pPr>
      <w:r>
        <w:rPr>
          <w:rFonts w:hint="eastAsia" w:ascii="Times New Roman" w:hAnsi="Times New Roman" w:eastAsia="仿宋" w:cs="Times New Roman"/>
          <w:snapToGrid/>
          <w:kern w:val="0"/>
          <w:sz w:val="32"/>
          <w:szCs w:val="32"/>
          <w:lang w:val="en-US" w:eastAsia="zh-CN"/>
        </w:rPr>
        <w:t>根据《辽宁省市场监督管理局关于印发 2024 年辽宁省地方标准立项计划的通知》（辽市监发〔2024〕15号），批准《媒介生物综合管理技术规范 鼠类防制 校园食堂》作为2024年辽宁省地方标准立项项目，立项编号为2024272，由辽宁省疾病预防控制中心组织起草，辽宁省卫生健康委员会归口，任务来源明确。</w:t>
      </w:r>
    </w:p>
    <w:p w14:paraId="24A880DE">
      <w:pPr>
        <w:keepNext w:val="0"/>
        <w:keepLines w:val="0"/>
        <w:pageBreakBefore w:val="0"/>
        <w:widowControl/>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outlineLvl w:val="1"/>
        <w:rPr>
          <w:rFonts w:hint="default" w:ascii="Times New Roman" w:hAnsi="Times New Roman" w:eastAsia="楷体" w:cs="Times New Roman"/>
          <w:b w:val="0"/>
          <w:bCs w:val="0"/>
          <w:snapToGrid/>
          <w:kern w:val="0"/>
          <w:sz w:val="32"/>
          <w:szCs w:val="32"/>
          <w:lang w:val="en-US" w:eastAsia="zh-CN"/>
        </w:rPr>
      </w:pPr>
      <w:bookmarkStart w:id="5" w:name="_Toc1635406056"/>
      <w:r>
        <w:rPr>
          <w:rFonts w:hint="default" w:ascii="Times New Roman" w:hAnsi="Times New Roman" w:eastAsia="楷体" w:cs="Times New Roman"/>
          <w:b w:val="0"/>
          <w:bCs w:val="0"/>
          <w:snapToGrid/>
          <w:kern w:val="0"/>
          <w:sz w:val="32"/>
          <w:szCs w:val="32"/>
          <w:lang w:val="en-US" w:eastAsia="zh-CN"/>
        </w:rPr>
        <w:t>（二）制定标准的必要性和意义</w:t>
      </w:r>
      <w:bookmarkEnd w:id="5"/>
    </w:p>
    <w:p w14:paraId="01E4890F">
      <w:pPr>
        <w:keepNext w:val="0"/>
        <w:keepLines w:val="0"/>
        <w:pageBreakBefore w:val="0"/>
        <w:wordWrap/>
        <w:overflowPunct/>
        <w:topLinePunct w:val="0"/>
        <w:bidi w:val="0"/>
        <w:spacing w:line="600" w:lineRule="exact"/>
        <w:ind w:firstLine="640" w:firstLineChars="200"/>
        <w:jc w:val="both"/>
        <w:rPr>
          <w:rFonts w:hint="eastAsia" w:ascii="Times New Roman" w:hAnsi="Times New Roman" w:eastAsia="仿宋" w:cs="Times New Roman"/>
          <w:snapToGrid/>
          <w:kern w:val="0"/>
          <w:sz w:val="32"/>
          <w:szCs w:val="32"/>
          <w:lang w:val="en-US" w:eastAsia="zh-CN"/>
        </w:rPr>
      </w:pPr>
      <w:r>
        <w:rPr>
          <w:rFonts w:hint="eastAsia" w:ascii="Times New Roman" w:hAnsi="Times New Roman" w:eastAsia="仿宋" w:cs="Times New Roman"/>
          <w:snapToGrid/>
          <w:kern w:val="0"/>
          <w:sz w:val="32"/>
          <w:szCs w:val="32"/>
          <w:lang w:val="en-US" w:eastAsia="zh-CN"/>
        </w:rPr>
        <w:t xml:space="preserve">在食堂这一人员密集且对卫生要求极高的场所，鼠类的孳生不仅影响就餐环境，还可能对人群健康构成威胁。为更好有效的控制校园食堂的鼠类问题，有必要编撰关于校园食堂鼠类控制的相关标准，同时也填补了我省没有一项针对校园食堂的鼠类控制标准的空白。“媒介生物综合管理技术规范 校园食堂 鼠类”标准的编撰主要是为了解决我省校园食堂管理者对鼠类控制没有明确的标准和概念，在日常管理过程中对鼠类的控制方法掌握的不够全面，了解的防鼠技术规程不够细致，工作中没有抓手，把握不住重点，防控的不够全面，因此“制定媒介生物综合管理技术规范 校园食堂 鼠类”标准的制订解决了校园食堂鼠类防制工作过程中的上述问题，本标准既全面又细致的解决了校园食堂鼠类防制的综合管理问题和技术规范问题，为校园就餐环境安全问题提供科学管理的依据。 </w:t>
      </w:r>
    </w:p>
    <w:p w14:paraId="5E80C47C">
      <w:pPr>
        <w:keepNext w:val="0"/>
        <w:keepLines w:val="0"/>
        <w:pageBreakBefore w:val="0"/>
        <w:widowControl/>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outlineLvl w:val="1"/>
        <w:rPr>
          <w:rFonts w:hint="default" w:ascii="Times New Roman" w:hAnsi="Times New Roman" w:eastAsia="仿宋" w:cs="Times New Roman"/>
          <w:snapToGrid/>
          <w:kern w:val="0"/>
          <w:sz w:val="32"/>
          <w:szCs w:val="32"/>
          <w:highlight w:val="none"/>
          <w:lang w:val="en-US" w:eastAsia="zh-CN"/>
        </w:rPr>
      </w:pPr>
      <w:bookmarkStart w:id="6" w:name="_Toc529888764"/>
      <w:r>
        <w:rPr>
          <w:rFonts w:hint="default" w:ascii="Times New Roman" w:hAnsi="Times New Roman" w:eastAsia="楷体" w:cs="Times New Roman"/>
          <w:b w:val="0"/>
          <w:bCs w:val="0"/>
          <w:snapToGrid/>
          <w:kern w:val="0"/>
          <w:sz w:val="32"/>
          <w:szCs w:val="32"/>
          <w:lang w:val="en-US" w:eastAsia="zh-CN"/>
        </w:rPr>
        <w:t>（三）起草单位</w:t>
      </w:r>
      <w:bookmarkEnd w:id="6"/>
    </w:p>
    <w:p w14:paraId="2A21B1BB">
      <w:pPr>
        <w:keepNext w:val="0"/>
        <w:keepLines w:val="0"/>
        <w:pageBreakBefore w:val="0"/>
        <w:wordWrap/>
        <w:overflowPunct/>
        <w:topLinePunct w:val="0"/>
        <w:bidi w:val="0"/>
        <w:spacing w:line="600" w:lineRule="exact"/>
        <w:ind w:firstLine="640" w:firstLineChars="200"/>
        <w:jc w:val="both"/>
        <w:rPr>
          <w:rFonts w:ascii="Times New Roman" w:hAnsi="Times New Roman"/>
          <w:sz w:val="32"/>
          <w:szCs w:val="32"/>
        </w:rPr>
      </w:pPr>
      <w:r>
        <w:rPr>
          <w:rFonts w:hint="eastAsia" w:ascii="Times New Roman" w:hAnsi="Times New Roman" w:eastAsia="仿宋" w:cs="Times New Roman"/>
          <w:snapToGrid/>
          <w:kern w:val="0"/>
          <w:sz w:val="32"/>
          <w:szCs w:val="32"/>
          <w:lang w:val="en-US" w:eastAsia="zh-CN"/>
        </w:rPr>
        <w:t>本标准由辽宁省疾病预防控制中心起草。</w:t>
      </w:r>
      <w:bookmarkStart w:id="7" w:name="bookmark5"/>
      <w:bookmarkEnd w:id="7"/>
    </w:p>
    <w:p w14:paraId="79A4D5BB">
      <w:pPr>
        <w:keepNext w:val="0"/>
        <w:keepLines w:val="0"/>
        <w:pageBreakBefore w:val="0"/>
        <w:widowControl/>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outlineLvl w:val="1"/>
        <w:rPr>
          <w:rFonts w:hint="default" w:ascii="Times New Roman" w:hAnsi="Times New Roman" w:eastAsia="楷体" w:cs="Times New Roman"/>
          <w:b w:val="0"/>
          <w:bCs w:val="0"/>
          <w:snapToGrid/>
          <w:kern w:val="0"/>
          <w:sz w:val="32"/>
          <w:szCs w:val="32"/>
          <w:lang w:val="en-US" w:eastAsia="zh-CN"/>
        </w:rPr>
      </w:pPr>
      <w:bookmarkStart w:id="8" w:name="_Toc61171626"/>
      <w:r>
        <w:rPr>
          <w:rFonts w:hint="default" w:ascii="Times New Roman" w:hAnsi="Times New Roman" w:eastAsia="楷体" w:cs="Times New Roman"/>
          <w:b w:val="0"/>
          <w:bCs w:val="0"/>
          <w:snapToGrid/>
          <w:kern w:val="0"/>
          <w:sz w:val="32"/>
          <w:szCs w:val="32"/>
          <w:lang w:val="en-US" w:eastAsia="zh-CN"/>
        </w:rPr>
        <w:t>（</w:t>
      </w:r>
      <w:r>
        <w:rPr>
          <w:rFonts w:hint="eastAsia" w:ascii="Times New Roman" w:hAnsi="Times New Roman" w:eastAsia="楷体" w:cs="Times New Roman"/>
          <w:b w:val="0"/>
          <w:bCs w:val="0"/>
          <w:snapToGrid/>
          <w:kern w:val="0"/>
          <w:sz w:val="32"/>
          <w:szCs w:val="32"/>
          <w:lang w:val="en-US" w:eastAsia="zh-CN"/>
        </w:rPr>
        <w:t>四</w:t>
      </w:r>
      <w:r>
        <w:rPr>
          <w:rFonts w:hint="default" w:ascii="Times New Roman" w:hAnsi="Times New Roman" w:eastAsia="楷体" w:cs="Times New Roman"/>
          <w:b w:val="0"/>
          <w:bCs w:val="0"/>
          <w:snapToGrid/>
          <w:kern w:val="0"/>
          <w:sz w:val="32"/>
          <w:szCs w:val="32"/>
          <w:lang w:val="en-US" w:eastAsia="zh-CN"/>
        </w:rPr>
        <w:t>）主要起草人及其所做的工作</w:t>
      </w:r>
      <w:bookmarkEnd w:id="8"/>
    </w:p>
    <w:p w14:paraId="0D03780C">
      <w:pPr>
        <w:keepNext w:val="0"/>
        <w:keepLines w:val="0"/>
        <w:pageBreakBefore w:val="0"/>
        <w:widowControl/>
        <w:kinsoku w:val="0"/>
        <w:wordWrap/>
        <w:overflowPunct/>
        <w:topLinePunct w:val="0"/>
        <w:autoSpaceDE w:val="0"/>
        <w:autoSpaceDN w:val="0"/>
        <w:bidi w:val="0"/>
        <w:adjustRightInd w:val="0"/>
        <w:snapToGrid w:val="0"/>
        <w:spacing w:line="600" w:lineRule="exact"/>
        <w:ind w:left="0"/>
        <w:jc w:val="center"/>
        <w:textAlignment w:val="baseline"/>
        <w:rPr>
          <w:rFonts w:ascii="Times New Roman" w:hAnsi="Times New Roman"/>
        </w:rPr>
      </w:pPr>
      <w:r>
        <w:rPr>
          <w:rFonts w:ascii="Times New Roman" w:hAnsi="Times New Roman" w:eastAsia="黑体" w:cs="宋体"/>
          <w:b/>
          <w:bCs/>
          <w:spacing w:val="-6"/>
          <w:sz w:val="24"/>
          <w:szCs w:val="28"/>
        </w:rPr>
        <w:t>表1</w:t>
      </w:r>
      <w:r>
        <w:rPr>
          <w:rFonts w:ascii="Times New Roman" w:hAnsi="Times New Roman" w:eastAsia="黑体" w:cs="宋体"/>
          <w:spacing w:val="-6"/>
          <w:sz w:val="24"/>
          <w:szCs w:val="28"/>
        </w:rPr>
        <w:t xml:space="preserve">  </w:t>
      </w:r>
      <w:r>
        <w:rPr>
          <w:rFonts w:ascii="Times New Roman" w:hAnsi="Times New Roman" w:eastAsia="黑体" w:cs="宋体"/>
          <w:b/>
          <w:bCs/>
          <w:spacing w:val="-6"/>
          <w:sz w:val="24"/>
          <w:szCs w:val="28"/>
        </w:rPr>
        <w:t>编写小组成员与分工表</w:t>
      </w:r>
    </w:p>
    <w:tbl>
      <w:tblPr>
        <w:tblStyle w:val="8"/>
        <w:tblW w:w="1007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1"/>
        <w:gridCol w:w="830"/>
        <w:gridCol w:w="847"/>
        <w:gridCol w:w="2217"/>
        <w:gridCol w:w="2582"/>
        <w:gridCol w:w="2443"/>
      </w:tblGrid>
      <w:tr w14:paraId="6EF9A6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jc w:val="center"/>
        </w:trPr>
        <w:tc>
          <w:tcPr>
            <w:tcW w:w="1151" w:type="dxa"/>
            <w:vAlign w:val="center"/>
          </w:tcPr>
          <w:p w14:paraId="6F1299B9">
            <w:pPr>
              <w:pStyle w:val="9"/>
              <w:spacing w:before="170" w:line="228" w:lineRule="auto"/>
              <w:jc w:val="center"/>
              <w:rPr>
                <w:rFonts w:ascii="Times New Roman" w:hAnsi="Times New Roman" w:eastAsia="仿宋"/>
              </w:rPr>
            </w:pPr>
            <w:r>
              <w:rPr>
                <w:rFonts w:ascii="Times New Roman" w:hAnsi="Times New Roman" w:eastAsia="仿宋"/>
                <w:b/>
                <w:bCs/>
                <w:spacing w:val="2"/>
              </w:rPr>
              <w:t>姓名</w:t>
            </w:r>
          </w:p>
        </w:tc>
        <w:tc>
          <w:tcPr>
            <w:tcW w:w="830" w:type="dxa"/>
            <w:vAlign w:val="center"/>
          </w:tcPr>
          <w:p w14:paraId="69F3A248">
            <w:pPr>
              <w:pStyle w:val="9"/>
              <w:spacing w:before="170" w:line="228" w:lineRule="auto"/>
              <w:jc w:val="center"/>
              <w:rPr>
                <w:rFonts w:ascii="Times New Roman" w:hAnsi="Times New Roman" w:eastAsia="仿宋"/>
              </w:rPr>
            </w:pPr>
            <w:r>
              <w:rPr>
                <w:rFonts w:ascii="Times New Roman" w:hAnsi="Times New Roman" w:eastAsia="仿宋"/>
                <w:b/>
                <w:bCs/>
              </w:rPr>
              <w:t>性别</w:t>
            </w:r>
          </w:p>
        </w:tc>
        <w:tc>
          <w:tcPr>
            <w:tcW w:w="847" w:type="dxa"/>
            <w:vAlign w:val="center"/>
          </w:tcPr>
          <w:p w14:paraId="30FE5524">
            <w:pPr>
              <w:pStyle w:val="9"/>
              <w:spacing w:before="170" w:line="228" w:lineRule="auto"/>
              <w:jc w:val="center"/>
              <w:rPr>
                <w:rFonts w:ascii="Times New Roman" w:hAnsi="Times New Roman" w:eastAsia="仿宋"/>
              </w:rPr>
            </w:pPr>
            <w:r>
              <w:rPr>
                <w:rFonts w:ascii="Times New Roman" w:hAnsi="Times New Roman" w:eastAsia="仿宋"/>
                <w:b/>
                <w:bCs/>
                <w:spacing w:val="1"/>
              </w:rPr>
              <w:t>年龄</w:t>
            </w:r>
          </w:p>
        </w:tc>
        <w:tc>
          <w:tcPr>
            <w:tcW w:w="2217" w:type="dxa"/>
            <w:vAlign w:val="center"/>
          </w:tcPr>
          <w:p w14:paraId="2AA37A10">
            <w:pPr>
              <w:pStyle w:val="9"/>
              <w:spacing w:before="170" w:line="228" w:lineRule="auto"/>
              <w:jc w:val="center"/>
              <w:rPr>
                <w:rFonts w:ascii="Times New Roman" w:hAnsi="Times New Roman" w:eastAsia="仿宋"/>
              </w:rPr>
            </w:pPr>
            <w:r>
              <w:rPr>
                <w:rFonts w:ascii="Times New Roman" w:hAnsi="Times New Roman" w:eastAsia="仿宋"/>
                <w:b/>
                <w:bCs/>
                <w:spacing w:val="2"/>
              </w:rPr>
              <w:t>职务/职称</w:t>
            </w:r>
          </w:p>
        </w:tc>
        <w:tc>
          <w:tcPr>
            <w:tcW w:w="2582" w:type="dxa"/>
            <w:vAlign w:val="center"/>
          </w:tcPr>
          <w:p w14:paraId="4BBB1BC1">
            <w:pPr>
              <w:pStyle w:val="9"/>
              <w:spacing w:before="170" w:line="228" w:lineRule="auto"/>
              <w:jc w:val="center"/>
              <w:rPr>
                <w:rFonts w:ascii="Times New Roman" w:hAnsi="Times New Roman" w:eastAsia="仿宋"/>
              </w:rPr>
            </w:pPr>
            <w:r>
              <w:rPr>
                <w:rFonts w:ascii="Times New Roman" w:hAnsi="Times New Roman" w:eastAsia="仿宋"/>
                <w:b/>
                <w:bCs/>
                <w:spacing w:val="4"/>
              </w:rPr>
              <w:t>工作单位</w:t>
            </w:r>
          </w:p>
        </w:tc>
        <w:tc>
          <w:tcPr>
            <w:tcW w:w="2443" w:type="dxa"/>
            <w:vAlign w:val="center"/>
          </w:tcPr>
          <w:p w14:paraId="7BB689A2">
            <w:pPr>
              <w:pStyle w:val="9"/>
              <w:spacing w:before="170" w:line="228" w:lineRule="auto"/>
              <w:jc w:val="center"/>
              <w:rPr>
                <w:rFonts w:ascii="Times New Roman" w:hAnsi="Times New Roman" w:eastAsia="仿宋"/>
              </w:rPr>
            </w:pPr>
            <w:r>
              <w:rPr>
                <w:rFonts w:hint="eastAsia" w:ascii="Times New Roman" w:hAnsi="Times New Roman" w:eastAsia="仿宋" w:cs="宋体"/>
                <w:b/>
                <w:bCs/>
                <w:spacing w:val="4"/>
              </w:rPr>
              <w:t>任务分工</w:t>
            </w:r>
          </w:p>
        </w:tc>
      </w:tr>
      <w:tr w14:paraId="5446E3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jc w:val="center"/>
        </w:trPr>
        <w:tc>
          <w:tcPr>
            <w:tcW w:w="1151" w:type="dxa"/>
            <w:vAlign w:val="center"/>
          </w:tcPr>
          <w:p w14:paraId="5D271685">
            <w:pPr>
              <w:pStyle w:val="9"/>
              <w:spacing w:before="167" w:line="228" w:lineRule="auto"/>
              <w:jc w:val="center"/>
              <w:rPr>
                <w:rFonts w:hint="default" w:ascii="Times New Roman" w:hAnsi="Times New Roman" w:eastAsia="仿宋"/>
                <w:lang w:val="en-US" w:eastAsia="zh-CN"/>
              </w:rPr>
            </w:pPr>
            <w:r>
              <w:rPr>
                <w:rFonts w:hint="eastAsia" w:ascii="Times New Roman" w:hAnsi="Times New Roman" w:eastAsia="仿宋" w:cs="宋体"/>
                <w:b/>
                <w:bCs/>
                <w:spacing w:val="1"/>
                <w:lang w:val="en-US" w:eastAsia="zh-CN"/>
              </w:rPr>
              <w:t>张家勇</w:t>
            </w:r>
          </w:p>
        </w:tc>
        <w:tc>
          <w:tcPr>
            <w:tcW w:w="830" w:type="dxa"/>
            <w:vAlign w:val="center"/>
          </w:tcPr>
          <w:p w14:paraId="70BD0514">
            <w:pPr>
              <w:pStyle w:val="9"/>
              <w:spacing w:before="166" w:line="228" w:lineRule="auto"/>
              <w:jc w:val="center"/>
              <w:rPr>
                <w:rFonts w:hint="eastAsia" w:ascii="Times New Roman" w:hAnsi="Times New Roman" w:eastAsia="仿宋"/>
                <w:lang w:eastAsia="zh-CN"/>
              </w:rPr>
            </w:pPr>
            <w:r>
              <w:rPr>
                <w:rFonts w:ascii="Times New Roman" w:hAnsi="Times New Roman" w:eastAsia="仿宋"/>
                <w:b/>
                <w:bCs/>
                <w:spacing w:val="-3"/>
              </w:rPr>
              <w:t>男</w:t>
            </w:r>
          </w:p>
        </w:tc>
        <w:tc>
          <w:tcPr>
            <w:tcW w:w="847" w:type="dxa"/>
            <w:vAlign w:val="center"/>
          </w:tcPr>
          <w:p w14:paraId="76B65E8B">
            <w:pPr>
              <w:pStyle w:val="9"/>
              <w:spacing w:before="167" w:line="270" w:lineRule="exact"/>
              <w:jc w:val="center"/>
              <w:rPr>
                <w:rFonts w:hint="default" w:ascii="Times New Roman" w:hAnsi="Times New Roman" w:eastAsia="仿宋"/>
                <w:lang w:val="en-US" w:eastAsia="zh-CN"/>
              </w:rPr>
            </w:pPr>
            <w:r>
              <w:rPr>
                <w:rFonts w:ascii="Times New Roman" w:hAnsi="Times New Roman" w:eastAsia="仿宋"/>
                <w:b/>
                <w:bCs/>
                <w:spacing w:val="-5"/>
                <w:position w:val="1"/>
              </w:rPr>
              <w:t>4</w:t>
            </w:r>
            <w:r>
              <w:rPr>
                <w:rFonts w:hint="eastAsia" w:ascii="Times New Roman" w:hAnsi="Times New Roman" w:eastAsia="仿宋"/>
                <w:b/>
                <w:bCs/>
                <w:spacing w:val="-5"/>
                <w:position w:val="1"/>
                <w:lang w:val="en-US" w:eastAsia="zh-CN"/>
              </w:rPr>
              <w:t>2</w:t>
            </w:r>
          </w:p>
        </w:tc>
        <w:tc>
          <w:tcPr>
            <w:tcW w:w="2217" w:type="dxa"/>
            <w:vAlign w:val="center"/>
          </w:tcPr>
          <w:p w14:paraId="7AAAD55B">
            <w:pPr>
              <w:pStyle w:val="9"/>
              <w:spacing w:before="165" w:line="228" w:lineRule="auto"/>
              <w:jc w:val="center"/>
              <w:rPr>
                <w:rFonts w:ascii="Times New Roman" w:hAnsi="Times New Roman" w:eastAsia="仿宋"/>
              </w:rPr>
            </w:pPr>
            <w:r>
              <w:rPr>
                <w:rFonts w:hint="eastAsia" w:ascii="Times New Roman" w:hAnsi="Times New Roman" w:eastAsia="仿宋"/>
                <w:b/>
                <w:bCs/>
                <w:spacing w:val="5"/>
                <w:lang w:val="en-US" w:eastAsia="zh-CN"/>
              </w:rPr>
              <w:t>副</w:t>
            </w:r>
            <w:r>
              <w:rPr>
                <w:rFonts w:ascii="Times New Roman" w:hAnsi="Times New Roman" w:eastAsia="仿宋"/>
                <w:b/>
                <w:bCs/>
                <w:spacing w:val="5"/>
              </w:rPr>
              <w:t>所长/主任</w:t>
            </w:r>
            <w:r>
              <w:rPr>
                <w:rFonts w:hint="eastAsia" w:ascii="Times New Roman" w:hAnsi="Times New Roman" w:eastAsia="仿宋"/>
                <w:b/>
                <w:bCs/>
                <w:spacing w:val="5"/>
                <w:lang w:val="en-US" w:eastAsia="zh-CN"/>
              </w:rPr>
              <w:t>技</w:t>
            </w:r>
            <w:r>
              <w:rPr>
                <w:rFonts w:ascii="Times New Roman" w:hAnsi="Times New Roman" w:eastAsia="仿宋"/>
                <w:b/>
                <w:bCs/>
                <w:spacing w:val="5"/>
              </w:rPr>
              <w:t>师</w:t>
            </w:r>
          </w:p>
        </w:tc>
        <w:tc>
          <w:tcPr>
            <w:tcW w:w="2582" w:type="dxa"/>
            <w:vAlign w:val="center"/>
          </w:tcPr>
          <w:p w14:paraId="4F92B1BB">
            <w:pPr>
              <w:pStyle w:val="9"/>
              <w:spacing w:before="165" w:line="228" w:lineRule="auto"/>
              <w:jc w:val="center"/>
              <w:rPr>
                <w:rFonts w:ascii="Times New Roman" w:hAnsi="Times New Roman" w:eastAsia="仿宋"/>
              </w:rPr>
            </w:pPr>
            <w:r>
              <w:rPr>
                <w:rFonts w:ascii="Times New Roman" w:hAnsi="Times New Roman" w:eastAsia="仿宋"/>
                <w:b/>
                <w:bCs/>
                <w:spacing w:val="6"/>
              </w:rPr>
              <w:t>辽宁省疾病预防控制中心</w:t>
            </w:r>
          </w:p>
        </w:tc>
        <w:tc>
          <w:tcPr>
            <w:tcW w:w="2443" w:type="dxa"/>
            <w:vAlign w:val="center"/>
          </w:tcPr>
          <w:p w14:paraId="78946CF2">
            <w:pPr>
              <w:pStyle w:val="9"/>
              <w:spacing w:before="165" w:line="228" w:lineRule="auto"/>
              <w:jc w:val="both"/>
              <w:rPr>
                <w:rFonts w:ascii="Times New Roman" w:hAnsi="Times New Roman" w:eastAsia="仿宋" w:cs="宋体"/>
                <w:b/>
                <w:bCs/>
                <w:spacing w:val="6"/>
              </w:rPr>
            </w:pPr>
            <w:r>
              <w:rPr>
                <w:rFonts w:hint="eastAsia" w:ascii="Times New Roman" w:hAnsi="Times New Roman" w:eastAsia="仿宋" w:cs="宋体"/>
                <w:b/>
                <w:bCs/>
                <w:spacing w:val="6"/>
              </w:rPr>
              <w:t>标准的总体筹划与编制、组织标准的撰写与意见征求工作</w:t>
            </w:r>
          </w:p>
        </w:tc>
      </w:tr>
      <w:tr w14:paraId="6E2FEC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jc w:val="center"/>
        </w:trPr>
        <w:tc>
          <w:tcPr>
            <w:tcW w:w="1151" w:type="dxa"/>
            <w:vAlign w:val="center"/>
          </w:tcPr>
          <w:p w14:paraId="5D3B08E5">
            <w:pPr>
              <w:pStyle w:val="9"/>
              <w:spacing w:before="65" w:line="228" w:lineRule="auto"/>
              <w:jc w:val="center"/>
              <w:rPr>
                <w:rFonts w:hint="default" w:ascii="Times New Roman" w:hAnsi="Times New Roman" w:eastAsia="仿宋"/>
                <w:lang w:val="en-US" w:eastAsia="zh-CN"/>
              </w:rPr>
            </w:pPr>
            <w:r>
              <w:rPr>
                <w:rFonts w:hint="eastAsia" w:ascii="Times New Roman" w:hAnsi="Times New Roman" w:eastAsia="仿宋"/>
                <w:b/>
                <w:bCs/>
                <w:spacing w:val="1"/>
                <w:lang w:val="en-US" w:eastAsia="zh-CN"/>
              </w:rPr>
              <w:t>丁俊</w:t>
            </w:r>
          </w:p>
        </w:tc>
        <w:tc>
          <w:tcPr>
            <w:tcW w:w="830" w:type="dxa"/>
            <w:vAlign w:val="center"/>
          </w:tcPr>
          <w:p w14:paraId="3233709E">
            <w:pPr>
              <w:pStyle w:val="9"/>
              <w:spacing w:before="65" w:line="228" w:lineRule="auto"/>
              <w:jc w:val="center"/>
              <w:rPr>
                <w:rFonts w:ascii="Times New Roman" w:hAnsi="Times New Roman" w:eastAsia="仿宋"/>
              </w:rPr>
            </w:pPr>
            <w:r>
              <w:rPr>
                <w:rFonts w:ascii="Times New Roman" w:hAnsi="Times New Roman" w:eastAsia="仿宋"/>
                <w:b/>
                <w:bCs/>
                <w:spacing w:val="-3"/>
              </w:rPr>
              <w:t>男</w:t>
            </w:r>
          </w:p>
        </w:tc>
        <w:tc>
          <w:tcPr>
            <w:tcW w:w="847" w:type="dxa"/>
            <w:vAlign w:val="center"/>
          </w:tcPr>
          <w:p w14:paraId="2B3DC89F">
            <w:pPr>
              <w:pStyle w:val="9"/>
              <w:spacing w:before="65" w:line="268" w:lineRule="exact"/>
              <w:jc w:val="center"/>
              <w:rPr>
                <w:rFonts w:hint="default" w:ascii="Times New Roman" w:hAnsi="Times New Roman" w:eastAsia="仿宋"/>
                <w:lang w:val="en-US" w:eastAsia="zh-CN"/>
              </w:rPr>
            </w:pPr>
            <w:r>
              <w:rPr>
                <w:rFonts w:hint="eastAsia" w:ascii="Times New Roman" w:hAnsi="Times New Roman" w:eastAsia="仿宋"/>
                <w:b/>
                <w:bCs/>
                <w:spacing w:val="-6"/>
                <w:position w:val="1"/>
                <w:lang w:val="en-US" w:eastAsia="zh-CN"/>
              </w:rPr>
              <w:t>44</w:t>
            </w:r>
          </w:p>
        </w:tc>
        <w:tc>
          <w:tcPr>
            <w:tcW w:w="2217" w:type="dxa"/>
            <w:vAlign w:val="center"/>
          </w:tcPr>
          <w:p w14:paraId="3213364A">
            <w:pPr>
              <w:pStyle w:val="9"/>
              <w:spacing w:before="65" w:line="227" w:lineRule="auto"/>
              <w:jc w:val="center"/>
              <w:rPr>
                <w:rFonts w:ascii="Times New Roman" w:hAnsi="Times New Roman" w:eastAsia="仿宋"/>
              </w:rPr>
            </w:pPr>
            <w:r>
              <w:rPr>
                <w:rFonts w:ascii="Times New Roman" w:hAnsi="Times New Roman" w:eastAsia="仿宋"/>
                <w:b/>
                <w:bCs/>
                <w:spacing w:val="5"/>
              </w:rPr>
              <w:t>所长/主任</w:t>
            </w:r>
            <w:r>
              <w:rPr>
                <w:rFonts w:hint="eastAsia" w:ascii="Times New Roman" w:hAnsi="Times New Roman" w:eastAsia="仿宋"/>
                <w:b/>
                <w:bCs/>
                <w:spacing w:val="5"/>
                <w:lang w:val="en-US" w:eastAsia="zh-CN"/>
              </w:rPr>
              <w:t>技</w:t>
            </w:r>
            <w:r>
              <w:rPr>
                <w:rFonts w:ascii="Times New Roman" w:hAnsi="Times New Roman" w:eastAsia="仿宋"/>
                <w:b/>
                <w:bCs/>
                <w:spacing w:val="5"/>
              </w:rPr>
              <w:t>师</w:t>
            </w:r>
          </w:p>
        </w:tc>
        <w:tc>
          <w:tcPr>
            <w:tcW w:w="2582" w:type="dxa"/>
            <w:vAlign w:val="center"/>
          </w:tcPr>
          <w:p w14:paraId="4F2B6723">
            <w:pPr>
              <w:pStyle w:val="9"/>
              <w:spacing w:before="222" w:line="230" w:lineRule="auto"/>
              <w:jc w:val="center"/>
              <w:rPr>
                <w:rFonts w:ascii="Times New Roman" w:hAnsi="Times New Roman" w:eastAsia="仿宋"/>
              </w:rPr>
            </w:pPr>
            <w:r>
              <w:rPr>
                <w:rFonts w:ascii="Times New Roman" w:hAnsi="Times New Roman" w:eastAsia="仿宋"/>
                <w:b/>
                <w:bCs/>
                <w:spacing w:val="6"/>
              </w:rPr>
              <w:t>辽宁省疾病预防控制中心</w:t>
            </w:r>
          </w:p>
        </w:tc>
        <w:tc>
          <w:tcPr>
            <w:tcW w:w="2443" w:type="dxa"/>
            <w:vAlign w:val="center"/>
          </w:tcPr>
          <w:p w14:paraId="37D25B50">
            <w:pPr>
              <w:pStyle w:val="9"/>
              <w:spacing w:before="165" w:line="228" w:lineRule="auto"/>
              <w:jc w:val="both"/>
              <w:rPr>
                <w:rFonts w:hint="default" w:ascii="Times New Roman" w:hAnsi="Times New Roman" w:eastAsia="仿宋" w:cs="宋体"/>
                <w:b/>
                <w:bCs/>
                <w:spacing w:val="6"/>
                <w:lang w:val="en-US"/>
              </w:rPr>
            </w:pPr>
            <w:r>
              <w:rPr>
                <w:rFonts w:hint="eastAsia" w:ascii="Times New Roman" w:hAnsi="Times New Roman" w:eastAsia="仿宋" w:cs="宋体"/>
                <w:b/>
                <w:bCs/>
                <w:spacing w:val="6"/>
              </w:rPr>
              <w:t>标准的立项申请</w:t>
            </w:r>
            <w:r>
              <w:rPr>
                <w:rFonts w:hint="eastAsia" w:ascii="Times New Roman" w:hAnsi="Times New Roman" w:eastAsia="仿宋" w:cs="宋体"/>
                <w:b/>
                <w:bCs/>
                <w:spacing w:val="6"/>
                <w:lang w:eastAsia="zh-CN"/>
              </w:rPr>
              <w:t>、</w:t>
            </w:r>
            <w:r>
              <w:rPr>
                <w:rFonts w:hint="eastAsia" w:ascii="Times New Roman" w:hAnsi="Times New Roman" w:eastAsia="仿宋" w:cs="宋体"/>
                <w:b/>
                <w:bCs/>
                <w:spacing w:val="6"/>
                <w:lang w:val="en-US" w:eastAsia="zh-CN"/>
              </w:rPr>
              <w:t>资料收集、编制说明撰写工作</w:t>
            </w:r>
          </w:p>
        </w:tc>
      </w:tr>
      <w:tr w14:paraId="0787B8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jc w:val="center"/>
        </w:trPr>
        <w:tc>
          <w:tcPr>
            <w:tcW w:w="1151" w:type="dxa"/>
            <w:vAlign w:val="center"/>
          </w:tcPr>
          <w:p w14:paraId="5BF01113">
            <w:pPr>
              <w:pStyle w:val="9"/>
              <w:spacing w:before="65" w:line="227" w:lineRule="auto"/>
              <w:jc w:val="center"/>
              <w:rPr>
                <w:rFonts w:hint="default" w:ascii="Times New Roman" w:hAnsi="Times New Roman" w:eastAsia="仿宋"/>
                <w:b/>
                <w:bCs/>
                <w:spacing w:val="5"/>
                <w:lang w:val="en-US" w:eastAsia="zh-CN"/>
              </w:rPr>
            </w:pPr>
            <w:r>
              <w:rPr>
                <w:rFonts w:hint="eastAsia" w:ascii="Times New Roman" w:hAnsi="Times New Roman" w:eastAsia="仿宋"/>
                <w:b/>
                <w:bCs/>
                <w:spacing w:val="5"/>
                <w:lang w:val="en-US" w:eastAsia="zh-CN"/>
              </w:rPr>
              <w:t>王纯玉</w:t>
            </w:r>
          </w:p>
        </w:tc>
        <w:tc>
          <w:tcPr>
            <w:tcW w:w="830" w:type="dxa"/>
            <w:vAlign w:val="center"/>
          </w:tcPr>
          <w:p w14:paraId="6DC13313">
            <w:pPr>
              <w:pStyle w:val="9"/>
              <w:spacing w:before="65" w:line="227" w:lineRule="auto"/>
              <w:jc w:val="center"/>
              <w:rPr>
                <w:rFonts w:hint="eastAsia" w:ascii="Times New Roman" w:hAnsi="Times New Roman" w:eastAsia="仿宋"/>
                <w:b/>
                <w:bCs/>
                <w:spacing w:val="5"/>
                <w:lang w:eastAsia="zh-CN"/>
              </w:rPr>
            </w:pPr>
            <w:r>
              <w:rPr>
                <w:rFonts w:hint="eastAsia" w:ascii="Times New Roman" w:hAnsi="Times New Roman" w:eastAsia="仿宋"/>
                <w:b/>
                <w:bCs/>
                <w:spacing w:val="5"/>
                <w:lang w:eastAsia="zh-CN"/>
              </w:rPr>
              <w:t>女</w:t>
            </w:r>
          </w:p>
        </w:tc>
        <w:tc>
          <w:tcPr>
            <w:tcW w:w="847" w:type="dxa"/>
            <w:vAlign w:val="center"/>
          </w:tcPr>
          <w:p w14:paraId="57E85BC0">
            <w:pPr>
              <w:pStyle w:val="9"/>
              <w:spacing w:before="65" w:line="227" w:lineRule="auto"/>
              <w:jc w:val="center"/>
              <w:rPr>
                <w:rFonts w:hint="default" w:ascii="Times New Roman" w:hAnsi="Times New Roman" w:eastAsia="仿宋"/>
                <w:b/>
                <w:bCs/>
                <w:spacing w:val="5"/>
                <w:lang w:val="en-US" w:eastAsia="zh-CN"/>
              </w:rPr>
            </w:pPr>
            <w:r>
              <w:rPr>
                <w:rFonts w:hint="eastAsia" w:ascii="Times New Roman" w:hAnsi="Times New Roman" w:eastAsia="仿宋"/>
                <w:b/>
                <w:bCs/>
                <w:spacing w:val="5"/>
                <w:lang w:val="en-US" w:eastAsia="zh-CN"/>
              </w:rPr>
              <w:t>38</w:t>
            </w:r>
          </w:p>
        </w:tc>
        <w:tc>
          <w:tcPr>
            <w:tcW w:w="2217" w:type="dxa"/>
            <w:vAlign w:val="center"/>
          </w:tcPr>
          <w:p w14:paraId="4CFE5DEC">
            <w:pPr>
              <w:pStyle w:val="9"/>
              <w:spacing w:before="166" w:line="228" w:lineRule="auto"/>
              <w:jc w:val="center"/>
              <w:rPr>
                <w:rFonts w:ascii="Times New Roman" w:hAnsi="Times New Roman" w:eastAsia="仿宋"/>
              </w:rPr>
            </w:pPr>
            <w:r>
              <w:rPr>
                <w:rFonts w:hint="eastAsia" w:ascii="Times New Roman" w:hAnsi="Times New Roman" w:eastAsia="仿宋"/>
                <w:b/>
                <w:bCs/>
                <w:spacing w:val="5"/>
                <w:lang w:val="en-US" w:eastAsia="zh-CN"/>
              </w:rPr>
              <w:t>副</w:t>
            </w:r>
            <w:r>
              <w:rPr>
                <w:rFonts w:ascii="Times New Roman" w:hAnsi="Times New Roman" w:eastAsia="仿宋"/>
                <w:b/>
                <w:bCs/>
                <w:spacing w:val="5"/>
              </w:rPr>
              <w:t>所长/</w:t>
            </w:r>
            <w:r>
              <w:rPr>
                <w:rFonts w:hint="eastAsia" w:ascii="Times New Roman" w:hAnsi="Times New Roman" w:eastAsia="仿宋"/>
                <w:b/>
                <w:bCs/>
                <w:spacing w:val="5"/>
                <w:lang w:eastAsia="zh-CN"/>
              </w:rPr>
              <w:t>副</w:t>
            </w:r>
            <w:r>
              <w:rPr>
                <w:rFonts w:ascii="Times New Roman" w:hAnsi="Times New Roman" w:eastAsia="仿宋"/>
                <w:b/>
                <w:bCs/>
                <w:spacing w:val="5"/>
              </w:rPr>
              <w:t>主任</w:t>
            </w:r>
            <w:r>
              <w:rPr>
                <w:rFonts w:hint="eastAsia" w:ascii="Times New Roman" w:hAnsi="Times New Roman" w:eastAsia="仿宋"/>
                <w:b/>
                <w:bCs/>
                <w:spacing w:val="5"/>
                <w:lang w:val="en-US" w:eastAsia="zh-CN"/>
              </w:rPr>
              <w:t>技</w:t>
            </w:r>
            <w:r>
              <w:rPr>
                <w:rFonts w:ascii="Times New Roman" w:hAnsi="Times New Roman" w:eastAsia="仿宋"/>
                <w:b/>
                <w:bCs/>
                <w:spacing w:val="5"/>
              </w:rPr>
              <w:t>师</w:t>
            </w:r>
          </w:p>
        </w:tc>
        <w:tc>
          <w:tcPr>
            <w:tcW w:w="2582" w:type="dxa"/>
            <w:vAlign w:val="center"/>
          </w:tcPr>
          <w:p w14:paraId="1B22D1C7">
            <w:pPr>
              <w:pStyle w:val="9"/>
              <w:spacing w:before="166" w:line="228" w:lineRule="auto"/>
              <w:jc w:val="center"/>
              <w:rPr>
                <w:rFonts w:ascii="Times New Roman" w:hAnsi="Times New Roman" w:eastAsia="仿宋"/>
              </w:rPr>
            </w:pPr>
            <w:r>
              <w:rPr>
                <w:rFonts w:ascii="Times New Roman" w:hAnsi="Times New Roman" w:eastAsia="仿宋"/>
                <w:b/>
                <w:bCs/>
                <w:spacing w:val="6"/>
              </w:rPr>
              <w:t>辽宁省疾病预防控制中心</w:t>
            </w:r>
          </w:p>
        </w:tc>
        <w:tc>
          <w:tcPr>
            <w:tcW w:w="2443" w:type="dxa"/>
            <w:vAlign w:val="center"/>
          </w:tcPr>
          <w:p w14:paraId="2961820D">
            <w:pPr>
              <w:pStyle w:val="9"/>
              <w:spacing w:before="165" w:line="228" w:lineRule="auto"/>
              <w:jc w:val="both"/>
              <w:rPr>
                <w:rFonts w:hint="eastAsia" w:ascii="Times New Roman" w:hAnsi="Times New Roman" w:eastAsia="仿宋" w:cs="宋体"/>
                <w:b/>
                <w:bCs/>
                <w:spacing w:val="6"/>
                <w:lang w:eastAsia="zh-CN"/>
              </w:rPr>
            </w:pPr>
            <w:r>
              <w:rPr>
                <w:rFonts w:hint="eastAsia" w:ascii="Times New Roman" w:hAnsi="Times New Roman" w:eastAsia="仿宋" w:cs="宋体"/>
                <w:b/>
                <w:bCs/>
                <w:spacing w:val="6"/>
              </w:rPr>
              <w:t>标准的编制与撰写、意见征求工作</w:t>
            </w:r>
            <w:r>
              <w:rPr>
                <w:rFonts w:hint="eastAsia" w:ascii="Times New Roman" w:hAnsi="Times New Roman" w:eastAsia="仿宋" w:cs="宋体"/>
                <w:b/>
                <w:bCs/>
                <w:spacing w:val="6"/>
                <w:lang w:eastAsia="zh-CN"/>
              </w:rPr>
              <w:t>、</w:t>
            </w:r>
            <w:r>
              <w:rPr>
                <w:rFonts w:hint="eastAsia" w:ascii="Times New Roman" w:hAnsi="Times New Roman" w:eastAsia="仿宋" w:cs="宋体"/>
                <w:b/>
                <w:bCs/>
                <w:spacing w:val="6"/>
              </w:rPr>
              <w:t>专家咨询</w:t>
            </w:r>
          </w:p>
        </w:tc>
      </w:tr>
      <w:tr w14:paraId="227317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jc w:val="center"/>
        </w:trPr>
        <w:tc>
          <w:tcPr>
            <w:tcW w:w="1151" w:type="dxa"/>
            <w:vAlign w:val="center"/>
          </w:tcPr>
          <w:p w14:paraId="217CD1EF">
            <w:pPr>
              <w:pStyle w:val="9"/>
              <w:spacing w:before="168" w:line="228" w:lineRule="auto"/>
              <w:jc w:val="center"/>
              <w:rPr>
                <w:rFonts w:hint="default" w:ascii="Times New Roman" w:hAnsi="Times New Roman" w:eastAsia="仿宋"/>
                <w:lang w:val="en-US" w:eastAsia="zh-CN"/>
              </w:rPr>
            </w:pPr>
            <w:r>
              <w:rPr>
                <w:rFonts w:hint="eastAsia" w:ascii="Times New Roman" w:hAnsi="Times New Roman" w:eastAsia="仿宋"/>
                <w:b/>
                <w:bCs/>
                <w:lang w:val="en-US" w:eastAsia="zh-CN"/>
              </w:rPr>
              <w:t>张倩</w:t>
            </w:r>
          </w:p>
        </w:tc>
        <w:tc>
          <w:tcPr>
            <w:tcW w:w="830" w:type="dxa"/>
            <w:vAlign w:val="center"/>
          </w:tcPr>
          <w:p w14:paraId="068819FE">
            <w:pPr>
              <w:pStyle w:val="9"/>
              <w:spacing w:before="168" w:line="228" w:lineRule="auto"/>
              <w:jc w:val="center"/>
              <w:rPr>
                <w:rFonts w:ascii="Times New Roman" w:hAnsi="Times New Roman" w:eastAsia="仿宋"/>
              </w:rPr>
            </w:pPr>
            <w:r>
              <w:rPr>
                <w:rFonts w:hint="eastAsia" w:ascii="Times New Roman" w:hAnsi="Times New Roman" w:eastAsia="仿宋"/>
                <w:b/>
                <w:bCs/>
                <w:spacing w:val="-3"/>
                <w:lang w:val="en-US" w:eastAsia="zh-CN"/>
              </w:rPr>
              <w:t>女</w:t>
            </w:r>
          </w:p>
        </w:tc>
        <w:tc>
          <w:tcPr>
            <w:tcW w:w="847" w:type="dxa"/>
            <w:vAlign w:val="center"/>
          </w:tcPr>
          <w:p w14:paraId="2EA0623A">
            <w:pPr>
              <w:pStyle w:val="9"/>
              <w:spacing w:before="167" w:line="270" w:lineRule="exact"/>
              <w:jc w:val="center"/>
              <w:rPr>
                <w:rFonts w:hint="default" w:ascii="Times New Roman" w:hAnsi="Times New Roman" w:eastAsia="仿宋"/>
                <w:lang w:val="en-US" w:eastAsia="zh-CN"/>
              </w:rPr>
            </w:pPr>
            <w:r>
              <w:rPr>
                <w:rFonts w:hint="eastAsia" w:ascii="Times New Roman" w:hAnsi="Times New Roman" w:eastAsia="仿宋"/>
                <w:b/>
                <w:bCs/>
                <w:spacing w:val="-5"/>
                <w:position w:val="1"/>
                <w:lang w:val="en-US" w:eastAsia="zh-CN"/>
              </w:rPr>
              <w:t>37</w:t>
            </w:r>
          </w:p>
        </w:tc>
        <w:tc>
          <w:tcPr>
            <w:tcW w:w="2217" w:type="dxa"/>
            <w:vAlign w:val="center"/>
          </w:tcPr>
          <w:p w14:paraId="40E95DAB">
            <w:pPr>
              <w:pStyle w:val="9"/>
              <w:spacing w:before="167" w:line="228" w:lineRule="auto"/>
              <w:jc w:val="center"/>
              <w:rPr>
                <w:rFonts w:ascii="Times New Roman" w:hAnsi="Times New Roman" w:eastAsia="仿宋"/>
              </w:rPr>
            </w:pPr>
            <w:r>
              <w:rPr>
                <w:rFonts w:hint="eastAsia" w:ascii="Times New Roman" w:hAnsi="Times New Roman" w:eastAsia="仿宋"/>
                <w:b/>
                <w:bCs/>
                <w:spacing w:val="5"/>
                <w:lang w:val="en-US" w:eastAsia="zh-CN"/>
              </w:rPr>
              <w:t>副</w:t>
            </w:r>
            <w:r>
              <w:rPr>
                <w:rFonts w:ascii="Times New Roman" w:hAnsi="Times New Roman" w:eastAsia="仿宋"/>
                <w:b/>
                <w:bCs/>
                <w:spacing w:val="5"/>
              </w:rPr>
              <w:t>主任</w:t>
            </w:r>
            <w:r>
              <w:rPr>
                <w:rFonts w:hint="eastAsia" w:ascii="Times New Roman" w:hAnsi="Times New Roman" w:eastAsia="仿宋"/>
                <w:b/>
                <w:bCs/>
                <w:spacing w:val="5"/>
                <w:lang w:val="en-US" w:eastAsia="zh-CN"/>
              </w:rPr>
              <w:t>技</w:t>
            </w:r>
            <w:r>
              <w:rPr>
                <w:rFonts w:ascii="Times New Roman" w:hAnsi="Times New Roman" w:eastAsia="仿宋"/>
                <w:b/>
                <w:bCs/>
                <w:spacing w:val="5"/>
              </w:rPr>
              <w:t>师</w:t>
            </w:r>
          </w:p>
        </w:tc>
        <w:tc>
          <w:tcPr>
            <w:tcW w:w="2582" w:type="dxa"/>
            <w:vAlign w:val="center"/>
          </w:tcPr>
          <w:p w14:paraId="3C56D156">
            <w:pPr>
              <w:pStyle w:val="9"/>
              <w:spacing w:before="167" w:line="228" w:lineRule="auto"/>
              <w:jc w:val="center"/>
              <w:rPr>
                <w:rFonts w:ascii="Times New Roman" w:hAnsi="Times New Roman" w:eastAsia="仿宋"/>
              </w:rPr>
            </w:pPr>
            <w:r>
              <w:rPr>
                <w:rFonts w:ascii="Times New Roman" w:hAnsi="Times New Roman" w:eastAsia="仿宋"/>
                <w:b/>
                <w:bCs/>
                <w:spacing w:val="6"/>
              </w:rPr>
              <w:t>辽宁省疾病预防控制中心</w:t>
            </w:r>
          </w:p>
        </w:tc>
        <w:tc>
          <w:tcPr>
            <w:tcW w:w="2443" w:type="dxa"/>
            <w:vAlign w:val="center"/>
          </w:tcPr>
          <w:p w14:paraId="220E5C67">
            <w:pPr>
              <w:pStyle w:val="9"/>
              <w:spacing w:before="165" w:line="228" w:lineRule="auto"/>
              <w:jc w:val="both"/>
              <w:rPr>
                <w:rFonts w:ascii="Times New Roman" w:hAnsi="Times New Roman" w:eastAsia="仿宋" w:cs="宋体"/>
                <w:b/>
                <w:bCs/>
                <w:spacing w:val="6"/>
              </w:rPr>
            </w:pPr>
            <w:r>
              <w:rPr>
                <w:rFonts w:hint="eastAsia" w:ascii="Times New Roman" w:hAnsi="Times New Roman" w:eastAsia="仿宋" w:cs="宋体"/>
                <w:b/>
                <w:bCs/>
                <w:spacing w:val="6"/>
              </w:rPr>
              <w:t>标准撰写</w:t>
            </w:r>
            <w:r>
              <w:rPr>
                <w:rFonts w:hint="eastAsia" w:ascii="Times New Roman" w:hAnsi="Times New Roman" w:eastAsia="仿宋" w:cs="宋体"/>
                <w:b/>
                <w:bCs/>
                <w:spacing w:val="6"/>
                <w:lang w:eastAsia="zh-CN"/>
              </w:rPr>
              <w:t>、</w:t>
            </w:r>
            <w:r>
              <w:rPr>
                <w:rFonts w:hint="eastAsia" w:ascii="Times New Roman" w:hAnsi="Times New Roman" w:eastAsia="仿宋" w:cs="宋体"/>
                <w:b/>
                <w:bCs/>
                <w:spacing w:val="6"/>
              </w:rPr>
              <w:t>专家咨询</w:t>
            </w:r>
          </w:p>
        </w:tc>
      </w:tr>
    </w:tbl>
    <w:p w14:paraId="610F9CC4">
      <w:pPr>
        <w:keepNext w:val="0"/>
        <w:keepLines w:val="0"/>
        <w:pageBreakBefore w:val="0"/>
        <w:widowControl/>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outlineLvl w:val="1"/>
        <w:rPr>
          <w:rFonts w:hint="default" w:ascii="Times New Roman" w:hAnsi="Times New Roman" w:eastAsia="楷体" w:cs="Times New Roman"/>
          <w:b w:val="0"/>
          <w:bCs w:val="0"/>
          <w:snapToGrid/>
          <w:kern w:val="0"/>
          <w:sz w:val="32"/>
          <w:szCs w:val="32"/>
          <w:highlight w:val="yellow"/>
          <w:lang w:val="en-US" w:eastAsia="zh-CN"/>
        </w:rPr>
      </w:pPr>
      <w:bookmarkStart w:id="9" w:name="_Toc1800317246"/>
      <w:r>
        <w:rPr>
          <w:rFonts w:hint="default" w:ascii="Times New Roman" w:hAnsi="Times New Roman" w:eastAsia="楷体" w:cs="Times New Roman"/>
          <w:b w:val="0"/>
          <w:bCs w:val="0"/>
          <w:snapToGrid/>
          <w:kern w:val="0"/>
          <w:sz w:val="32"/>
          <w:szCs w:val="32"/>
          <w:lang w:val="en-US" w:eastAsia="zh-CN"/>
        </w:rPr>
        <w:t>（</w:t>
      </w:r>
      <w:r>
        <w:rPr>
          <w:rFonts w:hint="eastAsia" w:ascii="Times New Roman" w:hAnsi="Times New Roman" w:eastAsia="楷体" w:cs="Times New Roman"/>
          <w:b w:val="0"/>
          <w:bCs w:val="0"/>
          <w:snapToGrid/>
          <w:kern w:val="0"/>
          <w:sz w:val="32"/>
          <w:szCs w:val="32"/>
          <w:lang w:val="en-US" w:eastAsia="zh-CN"/>
        </w:rPr>
        <w:t>五</w:t>
      </w:r>
      <w:r>
        <w:rPr>
          <w:rFonts w:hint="default" w:ascii="Times New Roman" w:hAnsi="Times New Roman" w:eastAsia="楷体" w:cs="Times New Roman"/>
          <w:b w:val="0"/>
          <w:bCs w:val="0"/>
          <w:snapToGrid/>
          <w:kern w:val="0"/>
          <w:sz w:val="32"/>
          <w:szCs w:val="32"/>
          <w:lang w:val="en-US" w:eastAsia="zh-CN"/>
        </w:rPr>
        <w:t>）</w:t>
      </w:r>
      <w:r>
        <w:rPr>
          <w:rFonts w:hint="default" w:ascii="Times New Roman" w:hAnsi="Times New Roman" w:eastAsia="楷体" w:cs="Times New Roman"/>
          <w:b w:val="0"/>
          <w:bCs w:val="0"/>
          <w:snapToGrid/>
          <w:kern w:val="0"/>
          <w:sz w:val="32"/>
          <w:szCs w:val="32"/>
          <w:highlight w:val="none"/>
          <w:lang w:val="en-US" w:eastAsia="zh-CN"/>
        </w:rPr>
        <w:t>主要工作过程</w:t>
      </w:r>
      <w:bookmarkEnd w:id="9"/>
    </w:p>
    <w:p w14:paraId="2C1AD5F8">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jc w:val="both"/>
        <w:textAlignment w:val="baseline"/>
        <w:outlineLvl w:val="2"/>
        <w:rPr>
          <w:rFonts w:hint="default" w:ascii="Times New Roman" w:hAnsi="Times New Roman" w:eastAsia="宋体" w:cs="Times New Roman"/>
          <w:b w:val="0"/>
          <w:bCs w:val="0"/>
          <w:spacing w:val="-5"/>
          <w:sz w:val="32"/>
          <w:szCs w:val="32"/>
        </w:rPr>
      </w:pPr>
      <w:bookmarkStart w:id="10" w:name="_Toc1316441905"/>
      <w:r>
        <w:rPr>
          <w:rFonts w:hint="default" w:ascii="Times New Roman" w:hAnsi="Times New Roman" w:eastAsia="仿宋" w:cs="Times New Roman"/>
          <w:sz w:val="32"/>
          <w:szCs w:val="32"/>
          <w:highlight w:val="none"/>
          <w:lang w:val="en-US" w:eastAsia="zh-CN"/>
        </w:rPr>
        <w:t>1.</w:t>
      </w:r>
      <w:r>
        <w:rPr>
          <w:rFonts w:hint="default" w:ascii="Times New Roman" w:hAnsi="Times New Roman" w:eastAsia="仿宋" w:cs="Times New Roman"/>
          <w:snapToGrid/>
          <w:kern w:val="0"/>
          <w:sz w:val="32"/>
          <w:szCs w:val="32"/>
          <w:highlight w:val="none"/>
          <w:lang w:val="en-US" w:eastAsia="zh-CN"/>
        </w:rPr>
        <w:t>起草单位成立起草组  2024年10月</w:t>
      </w:r>
      <w:bookmarkEnd w:id="10"/>
    </w:p>
    <w:p w14:paraId="0D03A245">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Times New Roman" w:hAnsi="Times New Roman" w:eastAsia="仿宋" w:cs="Times New Roman"/>
          <w:snapToGrid/>
          <w:kern w:val="0"/>
          <w:sz w:val="32"/>
          <w:szCs w:val="32"/>
          <w:lang w:val="en-US" w:eastAsia="zh-CN"/>
        </w:rPr>
      </w:pPr>
      <w:r>
        <w:rPr>
          <w:rFonts w:hint="eastAsia" w:ascii="Times New Roman" w:hAnsi="Times New Roman" w:eastAsia="仿宋" w:cs="Times New Roman"/>
          <w:snapToGrid/>
          <w:kern w:val="0"/>
          <w:sz w:val="32"/>
          <w:szCs w:val="32"/>
          <w:lang w:val="en-US" w:eastAsia="zh-CN"/>
        </w:rPr>
        <w:t>项目立项后，辽宁省疾病预防控制中心按照辽宁省市场监督管理局有关文件制定编制计划，开展前期准备工作，成立标准起草小组着手标准草案的编制工作。</w:t>
      </w:r>
    </w:p>
    <w:p w14:paraId="0F58966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firstLine="640" w:firstLineChars="200"/>
        <w:jc w:val="both"/>
        <w:textAlignment w:val="baseline"/>
        <w:outlineLvl w:val="2"/>
        <w:rPr>
          <w:rFonts w:hint="default" w:ascii="Times New Roman" w:hAnsi="Times New Roman" w:eastAsia="仿宋" w:cs="Times New Roman"/>
          <w:snapToGrid/>
          <w:kern w:val="0"/>
          <w:sz w:val="32"/>
          <w:szCs w:val="32"/>
          <w:highlight w:val="none"/>
          <w:lang w:val="en-US" w:eastAsia="zh-CN"/>
        </w:rPr>
      </w:pPr>
      <w:bookmarkStart w:id="11" w:name="_Toc1590084508"/>
      <w:r>
        <w:rPr>
          <w:rFonts w:hint="eastAsia" w:ascii="Times New Roman" w:hAnsi="Times New Roman" w:eastAsia="仿宋" w:cs="Times New Roman"/>
          <w:sz w:val="32"/>
          <w:szCs w:val="32"/>
          <w:highlight w:val="none"/>
          <w:lang w:val="en-US" w:eastAsia="zh-CN"/>
        </w:rPr>
        <w:t>2</w:t>
      </w:r>
      <w:r>
        <w:rPr>
          <w:rFonts w:hint="default" w:ascii="Times New Roman" w:hAnsi="Times New Roman" w:eastAsia="仿宋" w:cs="Times New Roman"/>
          <w:sz w:val="32"/>
          <w:szCs w:val="32"/>
          <w:highlight w:val="none"/>
          <w:lang w:val="en-US" w:eastAsia="zh-CN"/>
        </w:rPr>
        <w:t>.</w:t>
      </w:r>
      <w:r>
        <w:rPr>
          <w:rFonts w:hint="default" w:ascii="Times New Roman" w:hAnsi="Times New Roman" w:eastAsia="仿宋" w:cs="Times New Roman"/>
          <w:snapToGrid/>
          <w:kern w:val="0"/>
          <w:sz w:val="32"/>
          <w:szCs w:val="32"/>
          <w:highlight w:val="none"/>
          <w:lang w:val="en-US" w:eastAsia="zh-CN"/>
        </w:rPr>
        <w:t>收集分析整理资料  2024年10月</w:t>
      </w:r>
      <w:r>
        <w:rPr>
          <w:rFonts w:hint="eastAsia" w:ascii="Times New Roman" w:hAnsi="Times New Roman" w:eastAsia="仿宋" w:cs="Times New Roman"/>
          <w:snapToGrid/>
          <w:kern w:val="0"/>
          <w:sz w:val="32"/>
          <w:szCs w:val="32"/>
          <w:highlight w:val="none"/>
          <w:lang w:val="en-US" w:eastAsia="zh-CN"/>
        </w:rPr>
        <w:t>—12</w:t>
      </w:r>
      <w:r>
        <w:rPr>
          <w:rFonts w:hint="default" w:ascii="Times New Roman" w:hAnsi="Times New Roman" w:eastAsia="仿宋" w:cs="Times New Roman"/>
          <w:snapToGrid/>
          <w:kern w:val="0"/>
          <w:sz w:val="32"/>
          <w:szCs w:val="32"/>
          <w:highlight w:val="none"/>
          <w:lang w:val="en-US" w:eastAsia="zh-CN"/>
        </w:rPr>
        <w:t>月</w:t>
      </w:r>
      <w:bookmarkEnd w:id="11"/>
    </w:p>
    <w:p w14:paraId="5C0C8BF5">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Times New Roman" w:hAnsi="Times New Roman" w:eastAsia="仿宋" w:cs="Times New Roman"/>
          <w:snapToGrid/>
          <w:kern w:val="0"/>
          <w:sz w:val="32"/>
          <w:szCs w:val="32"/>
          <w:lang w:val="en-US" w:eastAsia="zh-CN"/>
        </w:rPr>
      </w:pPr>
      <w:r>
        <w:rPr>
          <w:rFonts w:hint="eastAsia" w:ascii="Times New Roman" w:hAnsi="Times New Roman" w:eastAsia="仿宋" w:cs="Times New Roman"/>
          <w:snapToGrid/>
          <w:kern w:val="0"/>
          <w:sz w:val="32"/>
          <w:szCs w:val="32"/>
          <w:lang w:val="en-US" w:eastAsia="zh-CN"/>
        </w:rPr>
        <w:t>一是标准起草小组进行了系统的资料收集和调查研究工作。首先收集相关法律法规、相关标准及学术研究报告论文等，为标准研制和编写提供参考资料。二是起草组工作人员对校园开展实地考察和调研。了解鼠的栖息环境、繁殖特点、危害程度以及现有的防制措施和效果等关键环节，为标准编制做好准备。三是就鼠类防制的术语定义、密度调查方法、综合防制技术规范等，与行业有代表性的害虫防制公司、疾控机构的专业人员和管理人员进行重点研讨。四是在认真总结国家及本地区在鼠类防制领域现状和实践经验基础上，对调研情况和收集到的资料进行反复分析研究后，确立了编制本标准的基本架构。</w:t>
      </w:r>
    </w:p>
    <w:p w14:paraId="1B25F2FA">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jc w:val="both"/>
        <w:textAlignment w:val="baseline"/>
        <w:outlineLvl w:val="2"/>
        <w:rPr>
          <w:rFonts w:hint="default" w:ascii="Times New Roman" w:hAnsi="Times New Roman" w:eastAsia="仿宋" w:cs="Times New Roman"/>
          <w:snapToGrid/>
          <w:kern w:val="0"/>
          <w:sz w:val="32"/>
          <w:szCs w:val="32"/>
          <w:lang w:val="en-US" w:eastAsia="zh-CN"/>
        </w:rPr>
      </w:pPr>
      <w:bookmarkStart w:id="12" w:name="_Toc1026128732"/>
      <w:r>
        <w:rPr>
          <w:rFonts w:hint="eastAsia" w:ascii="Times New Roman" w:hAnsi="Times New Roman" w:eastAsia="仿宋" w:cs="Times New Roman"/>
          <w:sz w:val="32"/>
          <w:szCs w:val="32"/>
          <w:highlight w:val="none"/>
          <w:lang w:val="en-US" w:eastAsia="zh-CN"/>
        </w:rPr>
        <w:t>3</w:t>
      </w:r>
      <w:r>
        <w:rPr>
          <w:rFonts w:hint="default" w:ascii="Times New Roman" w:hAnsi="Times New Roman" w:eastAsia="仿宋" w:cs="Times New Roman"/>
          <w:sz w:val="32"/>
          <w:szCs w:val="32"/>
          <w:highlight w:val="none"/>
          <w:lang w:val="en-US" w:eastAsia="zh-CN"/>
        </w:rPr>
        <w:t>.</w:t>
      </w:r>
      <w:r>
        <w:rPr>
          <w:rFonts w:hint="default" w:ascii="Times New Roman" w:hAnsi="Times New Roman" w:eastAsia="仿宋" w:cs="Times New Roman"/>
          <w:snapToGrid/>
          <w:kern w:val="0"/>
          <w:sz w:val="32"/>
          <w:szCs w:val="32"/>
          <w:lang w:val="en-US" w:eastAsia="zh-CN"/>
        </w:rPr>
        <w:t xml:space="preserve">形成标准草案  </w:t>
      </w:r>
      <w:r>
        <w:rPr>
          <w:rFonts w:hint="eastAsia" w:ascii="Times New Roman" w:hAnsi="Times New Roman" w:eastAsia="仿宋" w:cs="Times New Roman"/>
          <w:snapToGrid/>
          <w:kern w:val="0"/>
          <w:sz w:val="32"/>
          <w:szCs w:val="32"/>
          <w:highlight w:val="none"/>
          <w:lang w:val="en-US" w:eastAsia="zh-CN"/>
        </w:rPr>
        <w:t>2025</w:t>
      </w:r>
      <w:r>
        <w:rPr>
          <w:rFonts w:hint="default" w:ascii="Times New Roman" w:hAnsi="Times New Roman" w:eastAsia="仿宋" w:cs="Times New Roman"/>
          <w:snapToGrid/>
          <w:kern w:val="0"/>
          <w:sz w:val="32"/>
          <w:szCs w:val="32"/>
          <w:highlight w:val="none"/>
          <w:lang w:val="en-US" w:eastAsia="zh-CN"/>
        </w:rPr>
        <w:t>年1月</w:t>
      </w:r>
      <w:r>
        <w:rPr>
          <w:rFonts w:hint="eastAsia" w:ascii="Times New Roman" w:hAnsi="Times New Roman" w:eastAsia="仿宋" w:cs="Times New Roman"/>
          <w:snapToGrid/>
          <w:kern w:val="0"/>
          <w:sz w:val="32"/>
          <w:szCs w:val="32"/>
          <w:highlight w:val="none"/>
          <w:lang w:val="en-US" w:eastAsia="zh-CN"/>
        </w:rPr>
        <w:t>—</w:t>
      </w:r>
      <w:r>
        <w:rPr>
          <w:rFonts w:hint="default" w:ascii="Times New Roman" w:hAnsi="Times New Roman" w:eastAsia="仿宋" w:cs="Times New Roman"/>
          <w:snapToGrid/>
          <w:kern w:val="0"/>
          <w:sz w:val="32"/>
          <w:szCs w:val="32"/>
          <w:highlight w:val="none"/>
          <w:lang w:val="en-US" w:eastAsia="zh-CN"/>
        </w:rPr>
        <w:t>2月</w:t>
      </w:r>
      <w:bookmarkEnd w:id="12"/>
    </w:p>
    <w:p w14:paraId="7D6E0CA3">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jc w:val="both"/>
        <w:textAlignment w:val="baseline"/>
        <w:rPr>
          <w:rFonts w:hint="default" w:ascii="Times New Roman" w:hAnsi="Times New Roman" w:eastAsia="仿宋" w:cs="Times New Roman"/>
          <w:snapToGrid/>
          <w:kern w:val="0"/>
          <w:sz w:val="32"/>
          <w:szCs w:val="32"/>
          <w:lang w:val="en-US" w:eastAsia="zh-CN"/>
        </w:rPr>
      </w:pPr>
      <w:r>
        <w:rPr>
          <w:rFonts w:hint="eastAsia" w:ascii="Times New Roman" w:hAnsi="Times New Roman" w:eastAsia="仿宋" w:cs="Times New Roman"/>
          <w:snapToGrid/>
          <w:kern w:val="0"/>
          <w:sz w:val="32"/>
          <w:szCs w:val="32"/>
          <w:lang w:val="en-US" w:eastAsia="zh-CN"/>
        </w:rPr>
        <w:t>《媒介生物综合管理技术规范 鼠类防制 校园食堂》标准起草小组按照《标准化工作导则第1部分：标准化文件的结构和起草规则》（GB/T 1.1-2020）、《辽宁省地方标准管理办法》和《辽宁省地方标准制修订工作细则（试行）》的有关要求和规定编写标准内容，以认真负责、科学规范、客观公正、实事求是的态度，从制定标准的科学性、先进性和可操作性的原则出发，参考了《病媒生物密度监测方法 鼠类》（GB/T 23798</w:t>
      </w:r>
      <w:r>
        <w:rPr>
          <w:rFonts w:hint="eastAsia" w:ascii="Times New Roman" w:hAnsi="Times New Roman" w:eastAsia="仿宋" w:cs="Times New Roman"/>
          <w:snapToGrid/>
          <w:kern w:val="0"/>
          <w:sz w:val="32"/>
          <w:szCs w:val="32"/>
          <w:lang w:val="en-US" w:eastAsia="zh-CN" w:bidi="ar-SA"/>
        </w:rPr>
        <w:t>—2009</w:t>
      </w:r>
      <w:r>
        <w:rPr>
          <w:rFonts w:hint="eastAsia" w:ascii="宋体" w:hAnsi="宋体" w:eastAsia="宋体" w:cs="宋体"/>
          <w:snapToGrid/>
          <w:kern w:val="0"/>
          <w:sz w:val="32"/>
          <w:szCs w:val="32"/>
          <w:lang w:val="en-US" w:eastAsia="zh-CN" w:bidi="ar-SA"/>
        </w:rPr>
        <w:t>)</w:t>
      </w:r>
      <w:r>
        <w:rPr>
          <w:rFonts w:hint="eastAsia" w:ascii="Times New Roman" w:hAnsi="Times New Roman" w:eastAsia="仿宋" w:cs="Times New Roman"/>
          <w:snapToGrid/>
          <w:kern w:val="0"/>
          <w:sz w:val="32"/>
          <w:szCs w:val="32"/>
          <w:lang w:val="en-US" w:eastAsia="zh-CN"/>
        </w:rPr>
        <w:t xml:space="preserve"> 、《 病媒生物密度控制水平 鼠类》（GB/T 27770</w:t>
      </w:r>
      <w:r>
        <w:rPr>
          <w:rFonts w:hint="eastAsia" w:ascii="Times New Roman" w:hAnsi="Times New Roman" w:eastAsia="仿宋" w:cs="Times New Roman"/>
          <w:snapToGrid/>
          <w:kern w:val="0"/>
          <w:sz w:val="32"/>
          <w:szCs w:val="32"/>
          <w:lang w:val="en-US" w:eastAsia="zh-CN" w:bidi="ar-SA"/>
        </w:rPr>
        <w:t>—2009</w:t>
      </w:r>
      <w:r>
        <w:rPr>
          <w:rFonts w:hint="eastAsia" w:ascii="宋体" w:hAnsi="宋体" w:eastAsia="宋体" w:cs="宋体"/>
          <w:snapToGrid/>
          <w:kern w:val="0"/>
          <w:sz w:val="32"/>
          <w:szCs w:val="32"/>
          <w:lang w:val="en-US" w:eastAsia="zh-CN" w:bidi="ar-SA"/>
        </w:rPr>
        <w:t>)</w:t>
      </w:r>
      <w:r>
        <w:rPr>
          <w:rFonts w:hint="eastAsia" w:ascii="Times New Roman" w:hAnsi="Times New Roman" w:eastAsia="仿宋" w:cs="Times New Roman"/>
          <w:snapToGrid/>
          <w:kern w:val="0"/>
          <w:sz w:val="32"/>
          <w:szCs w:val="32"/>
          <w:lang w:val="en-US" w:eastAsia="zh-CN"/>
        </w:rPr>
        <w:t xml:space="preserve"> 、《病媒生物综合管理技术规范 食品生产加工企业》（GB/T 27776</w:t>
      </w:r>
      <w:r>
        <w:rPr>
          <w:rFonts w:hint="eastAsia" w:ascii="Times New Roman" w:hAnsi="Times New Roman" w:eastAsia="仿宋" w:cs="Times New Roman"/>
          <w:snapToGrid/>
          <w:kern w:val="0"/>
          <w:sz w:val="32"/>
          <w:szCs w:val="32"/>
          <w:lang w:val="en-US" w:eastAsia="zh-CN" w:bidi="ar-SA"/>
        </w:rPr>
        <w:t>—2011</w:t>
      </w:r>
      <w:r>
        <w:rPr>
          <w:rFonts w:hint="eastAsia" w:ascii="宋体" w:hAnsi="宋体" w:eastAsia="宋体" w:cs="宋体"/>
          <w:snapToGrid/>
          <w:kern w:val="0"/>
          <w:sz w:val="32"/>
          <w:szCs w:val="32"/>
          <w:lang w:val="en-US" w:eastAsia="zh-CN" w:bidi="ar-SA"/>
        </w:rPr>
        <w:t>)</w:t>
      </w:r>
      <w:r>
        <w:rPr>
          <w:rFonts w:hint="eastAsia" w:ascii="Times New Roman" w:hAnsi="Times New Roman" w:eastAsia="仿宋" w:cs="Times New Roman"/>
          <w:snapToGrid/>
          <w:kern w:val="0"/>
          <w:sz w:val="32"/>
          <w:szCs w:val="32"/>
          <w:lang w:val="en-US" w:eastAsia="zh-CN"/>
        </w:rPr>
        <w:t xml:space="preserve"> 、《 病媒生物综合管理技术规范 环境治理 鼠类 》（GB/T 31712</w:t>
      </w:r>
      <w:r>
        <w:rPr>
          <w:rFonts w:hint="eastAsia" w:ascii="Times New Roman" w:hAnsi="Times New Roman" w:eastAsia="仿宋" w:cs="Times New Roman"/>
          <w:snapToGrid/>
          <w:kern w:val="0"/>
          <w:sz w:val="32"/>
          <w:szCs w:val="32"/>
          <w:lang w:val="en-US" w:eastAsia="zh-CN" w:bidi="ar-SA"/>
        </w:rPr>
        <w:t>—2015</w:t>
      </w:r>
      <w:r>
        <w:rPr>
          <w:rFonts w:hint="eastAsia" w:ascii="宋体" w:hAnsi="宋体" w:eastAsia="宋体" w:cs="宋体"/>
          <w:snapToGrid/>
          <w:kern w:val="0"/>
          <w:sz w:val="32"/>
          <w:szCs w:val="32"/>
          <w:lang w:val="en-US" w:eastAsia="zh-CN" w:bidi="ar-SA"/>
        </w:rPr>
        <w:t>)</w:t>
      </w:r>
      <w:r>
        <w:rPr>
          <w:rFonts w:hint="eastAsia" w:ascii="Times New Roman" w:hAnsi="Times New Roman" w:eastAsia="仿宋" w:cs="Times New Roman"/>
          <w:snapToGrid/>
          <w:kern w:val="0"/>
          <w:sz w:val="32"/>
          <w:szCs w:val="32"/>
          <w:lang w:val="en-US" w:eastAsia="zh-CN"/>
        </w:rPr>
        <w:t>、《 病媒生物控制术语与分类》（GB/T 31721</w:t>
      </w:r>
      <w:r>
        <w:rPr>
          <w:rFonts w:hint="eastAsia" w:ascii="Times New Roman" w:hAnsi="Times New Roman" w:eastAsia="仿宋" w:cs="Times New Roman"/>
          <w:snapToGrid/>
          <w:kern w:val="0"/>
          <w:sz w:val="32"/>
          <w:szCs w:val="32"/>
          <w:lang w:val="en-US" w:eastAsia="zh-CN" w:bidi="ar-SA"/>
        </w:rPr>
        <w:t>—2015</w:t>
      </w:r>
      <w:r>
        <w:rPr>
          <w:rFonts w:hint="eastAsia" w:ascii="宋体" w:hAnsi="宋体" w:eastAsia="宋体" w:cs="宋体"/>
          <w:snapToGrid/>
          <w:kern w:val="0"/>
          <w:sz w:val="32"/>
          <w:szCs w:val="32"/>
          <w:lang w:val="en-US" w:eastAsia="zh-CN" w:bidi="ar-SA"/>
        </w:rPr>
        <w:t>)</w:t>
      </w:r>
      <w:r>
        <w:rPr>
          <w:rFonts w:hint="eastAsia" w:ascii="Times New Roman" w:hAnsi="Times New Roman" w:eastAsia="仿宋" w:cs="Times New Roman"/>
          <w:snapToGrid/>
          <w:kern w:val="0"/>
          <w:sz w:val="32"/>
          <w:szCs w:val="32"/>
          <w:lang w:val="en-US" w:eastAsia="zh-CN"/>
        </w:rPr>
        <w:t xml:space="preserve"> 、 《 病媒生物综合管理技术规范 学校》（GB/T 39503</w:t>
      </w:r>
      <w:r>
        <w:rPr>
          <w:rFonts w:hint="eastAsia" w:ascii="Times New Roman" w:hAnsi="Times New Roman" w:eastAsia="仿宋" w:cs="Times New Roman"/>
          <w:snapToGrid/>
          <w:kern w:val="0"/>
          <w:sz w:val="32"/>
          <w:szCs w:val="32"/>
          <w:lang w:val="en-US" w:eastAsia="zh-CN" w:bidi="ar-SA"/>
        </w:rPr>
        <w:t>—2020</w:t>
      </w:r>
      <w:r>
        <w:rPr>
          <w:rFonts w:hint="eastAsia" w:ascii="宋体" w:hAnsi="宋体" w:eastAsia="宋体" w:cs="宋体"/>
          <w:snapToGrid/>
          <w:kern w:val="0"/>
          <w:sz w:val="32"/>
          <w:szCs w:val="32"/>
          <w:lang w:val="en-US" w:eastAsia="zh-CN" w:bidi="ar-SA"/>
        </w:rPr>
        <w:t>)</w:t>
      </w:r>
      <w:r>
        <w:rPr>
          <w:rFonts w:hint="eastAsia" w:ascii="Times New Roman" w:hAnsi="Times New Roman" w:eastAsia="仿宋" w:cs="Times New Roman"/>
          <w:snapToGrid/>
          <w:kern w:val="0"/>
          <w:sz w:val="32"/>
          <w:szCs w:val="32"/>
          <w:lang w:val="en-US" w:eastAsia="zh-CN"/>
        </w:rPr>
        <w:t>等相关标准，开展标准草案的编写工作。</w:t>
      </w:r>
    </w:p>
    <w:p w14:paraId="6A11A7B1">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jc w:val="both"/>
        <w:textAlignment w:val="baseline"/>
        <w:outlineLvl w:val="2"/>
        <w:rPr>
          <w:rFonts w:hint="default" w:ascii="Times New Roman" w:hAnsi="Times New Roman" w:eastAsia="仿宋" w:cs="Times New Roman"/>
          <w:snapToGrid/>
          <w:kern w:val="0"/>
          <w:sz w:val="32"/>
          <w:szCs w:val="32"/>
          <w:lang w:val="en-US" w:eastAsia="zh-CN"/>
        </w:rPr>
      </w:pPr>
      <w:bookmarkStart w:id="13" w:name="_Toc325007481"/>
      <w:r>
        <w:rPr>
          <w:rFonts w:hint="eastAsia" w:ascii="Times New Roman" w:hAnsi="Times New Roman" w:eastAsia="仿宋" w:cs="Times New Roman"/>
          <w:sz w:val="32"/>
          <w:szCs w:val="32"/>
          <w:highlight w:val="none"/>
          <w:lang w:val="en-US" w:eastAsia="zh-CN"/>
        </w:rPr>
        <w:t>4</w:t>
      </w:r>
      <w:r>
        <w:rPr>
          <w:rFonts w:hint="default" w:ascii="Times New Roman" w:hAnsi="Times New Roman" w:eastAsia="仿宋" w:cs="Times New Roman"/>
          <w:sz w:val="32"/>
          <w:szCs w:val="32"/>
          <w:highlight w:val="none"/>
          <w:lang w:val="en-US" w:eastAsia="zh-CN"/>
        </w:rPr>
        <w:t>.</w:t>
      </w:r>
      <w:r>
        <w:rPr>
          <w:rFonts w:hint="default" w:ascii="Times New Roman" w:hAnsi="Times New Roman" w:eastAsia="仿宋" w:cs="Times New Roman"/>
          <w:snapToGrid/>
          <w:kern w:val="0"/>
          <w:sz w:val="32"/>
          <w:szCs w:val="32"/>
          <w:lang w:val="en-US" w:eastAsia="zh-CN"/>
        </w:rPr>
        <w:t xml:space="preserve">形成标准征求意见稿 </w:t>
      </w:r>
      <w:r>
        <w:rPr>
          <w:rFonts w:hint="default" w:ascii="Times New Roman" w:hAnsi="Times New Roman" w:eastAsia="仿宋" w:cs="Times New Roman"/>
          <w:snapToGrid/>
          <w:kern w:val="0"/>
          <w:sz w:val="32"/>
          <w:szCs w:val="32"/>
          <w:highlight w:val="none"/>
          <w:lang w:val="en-US" w:eastAsia="zh-CN"/>
        </w:rPr>
        <w:t xml:space="preserve"> 202</w:t>
      </w:r>
      <w:r>
        <w:rPr>
          <w:rFonts w:hint="eastAsia" w:ascii="Times New Roman" w:hAnsi="Times New Roman" w:eastAsia="仿宋" w:cs="Times New Roman"/>
          <w:snapToGrid/>
          <w:kern w:val="0"/>
          <w:sz w:val="32"/>
          <w:szCs w:val="32"/>
          <w:highlight w:val="none"/>
          <w:lang w:val="en-US" w:eastAsia="zh-CN"/>
        </w:rPr>
        <w:t>5</w:t>
      </w:r>
      <w:r>
        <w:rPr>
          <w:rFonts w:hint="default" w:ascii="Times New Roman" w:hAnsi="Times New Roman" w:eastAsia="仿宋" w:cs="Times New Roman"/>
          <w:snapToGrid/>
          <w:kern w:val="0"/>
          <w:sz w:val="32"/>
          <w:szCs w:val="32"/>
          <w:highlight w:val="none"/>
          <w:lang w:val="en-US" w:eastAsia="zh-CN"/>
        </w:rPr>
        <w:t>年3月</w:t>
      </w:r>
      <w:r>
        <w:rPr>
          <w:rFonts w:hint="eastAsia" w:ascii="Times New Roman" w:hAnsi="Times New Roman" w:eastAsia="仿宋" w:cs="Times New Roman"/>
          <w:snapToGrid/>
          <w:kern w:val="0"/>
          <w:sz w:val="32"/>
          <w:szCs w:val="32"/>
          <w:highlight w:val="none"/>
          <w:lang w:val="en-US" w:eastAsia="zh-CN"/>
        </w:rPr>
        <w:t>—</w:t>
      </w:r>
      <w:r>
        <w:rPr>
          <w:rFonts w:hint="default" w:ascii="Times New Roman" w:hAnsi="Times New Roman" w:eastAsia="仿宋" w:cs="Times New Roman"/>
          <w:snapToGrid/>
          <w:kern w:val="0"/>
          <w:sz w:val="32"/>
          <w:szCs w:val="32"/>
          <w:highlight w:val="none"/>
          <w:lang w:val="en-US" w:eastAsia="zh-CN"/>
        </w:rPr>
        <w:t>4月</w:t>
      </w:r>
      <w:bookmarkEnd w:id="13"/>
    </w:p>
    <w:p w14:paraId="6733DA34">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Times New Roman" w:hAnsi="Times New Roman" w:eastAsia="仿宋" w:cs="Times New Roman"/>
          <w:snapToGrid/>
          <w:kern w:val="0"/>
          <w:sz w:val="32"/>
          <w:szCs w:val="32"/>
          <w:lang w:val="en-US" w:eastAsia="zh-CN"/>
        </w:rPr>
      </w:pPr>
      <w:r>
        <w:rPr>
          <w:rFonts w:hint="eastAsia" w:ascii="Times New Roman" w:hAnsi="Times New Roman" w:eastAsia="仿宋" w:cs="Times New Roman"/>
          <w:snapToGrid/>
          <w:kern w:val="0"/>
          <w:sz w:val="32"/>
          <w:szCs w:val="32"/>
          <w:lang w:val="en-US" w:eastAsia="zh-CN"/>
        </w:rPr>
        <w:t>2025年3月起，起草组先后赴不同校园进行调研，并开展组内讨论。经过研讨，进一步明确了标准的主体结构，确定了主要内容，包括鼠害调查、危害评估、环境治理、防鼠设施、鼠类防制、安全注意事项等方面，并对标准的编制提出了进一步修改意见，形成了征求意见稿。</w:t>
      </w:r>
    </w:p>
    <w:p w14:paraId="3B31E2D8">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jc w:val="both"/>
        <w:textAlignment w:val="baseline"/>
        <w:outlineLvl w:val="2"/>
        <w:rPr>
          <w:rFonts w:hint="default" w:ascii="Times New Roman" w:hAnsi="Times New Roman" w:eastAsia="仿宋" w:cs="Times New Roman"/>
          <w:snapToGrid/>
          <w:kern w:val="0"/>
          <w:sz w:val="32"/>
          <w:szCs w:val="32"/>
          <w:highlight w:val="none"/>
          <w:lang w:val="en-US" w:eastAsia="zh-CN"/>
        </w:rPr>
      </w:pPr>
      <w:bookmarkStart w:id="14" w:name="_Toc1064774101"/>
      <w:r>
        <w:rPr>
          <w:rFonts w:hint="eastAsia" w:ascii="Times New Roman" w:hAnsi="Times New Roman" w:eastAsia="仿宋" w:cs="Times New Roman"/>
          <w:snapToGrid/>
          <w:kern w:val="0"/>
          <w:sz w:val="32"/>
          <w:szCs w:val="32"/>
          <w:highlight w:val="none"/>
          <w:lang w:val="en-US" w:eastAsia="zh-CN"/>
        </w:rPr>
        <w:t>5</w:t>
      </w:r>
      <w:r>
        <w:rPr>
          <w:rFonts w:hint="default" w:ascii="Times New Roman" w:hAnsi="Times New Roman" w:eastAsia="仿宋" w:cs="Times New Roman"/>
          <w:snapToGrid/>
          <w:kern w:val="0"/>
          <w:sz w:val="32"/>
          <w:szCs w:val="32"/>
          <w:highlight w:val="none"/>
          <w:lang w:val="en-US" w:eastAsia="zh-CN"/>
        </w:rPr>
        <w:t>.形成标准送审稿  202</w:t>
      </w:r>
      <w:r>
        <w:rPr>
          <w:rFonts w:hint="eastAsia" w:ascii="Times New Roman" w:hAnsi="Times New Roman" w:eastAsia="仿宋" w:cs="Times New Roman"/>
          <w:snapToGrid/>
          <w:kern w:val="0"/>
          <w:sz w:val="32"/>
          <w:szCs w:val="32"/>
          <w:highlight w:val="none"/>
          <w:lang w:val="en-US" w:eastAsia="zh-CN"/>
        </w:rPr>
        <w:t>5</w:t>
      </w:r>
      <w:r>
        <w:rPr>
          <w:rFonts w:hint="default" w:ascii="Times New Roman" w:hAnsi="Times New Roman" w:eastAsia="仿宋" w:cs="Times New Roman"/>
          <w:snapToGrid/>
          <w:kern w:val="0"/>
          <w:sz w:val="32"/>
          <w:szCs w:val="32"/>
          <w:highlight w:val="none"/>
          <w:lang w:val="en-US" w:eastAsia="zh-CN"/>
        </w:rPr>
        <w:t>年</w:t>
      </w:r>
      <w:r>
        <w:rPr>
          <w:rFonts w:hint="eastAsia" w:ascii="Times New Roman" w:hAnsi="Times New Roman" w:eastAsia="仿宋" w:cs="Times New Roman"/>
          <w:snapToGrid/>
          <w:kern w:val="0"/>
          <w:sz w:val="32"/>
          <w:szCs w:val="32"/>
          <w:highlight w:val="none"/>
          <w:lang w:val="en-US" w:eastAsia="zh-CN"/>
        </w:rPr>
        <w:t>5</w:t>
      </w:r>
      <w:r>
        <w:rPr>
          <w:rFonts w:hint="default" w:ascii="Times New Roman" w:hAnsi="Times New Roman" w:eastAsia="仿宋" w:cs="Times New Roman"/>
          <w:snapToGrid/>
          <w:kern w:val="0"/>
          <w:sz w:val="32"/>
          <w:szCs w:val="32"/>
          <w:highlight w:val="none"/>
          <w:lang w:val="en-US" w:eastAsia="zh-CN"/>
        </w:rPr>
        <w:t>月</w:t>
      </w:r>
      <w:bookmarkEnd w:id="14"/>
    </w:p>
    <w:p w14:paraId="1B2D0923">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Times New Roman" w:hAnsi="Times New Roman" w:eastAsia="仿宋" w:cs="Times New Roman"/>
          <w:snapToGrid/>
          <w:kern w:val="0"/>
          <w:sz w:val="32"/>
          <w:szCs w:val="32"/>
          <w:lang w:val="en-US" w:eastAsia="zh-CN"/>
        </w:rPr>
      </w:pPr>
      <w:r>
        <w:rPr>
          <w:rFonts w:hint="eastAsia" w:ascii="Times New Roman" w:hAnsi="Times New Roman" w:eastAsia="仿宋" w:cs="Times New Roman"/>
          <w:snapToGrid/>
          <w:kern w:val="0"/>
          <w:sz w:val="32"/>
          <w:szCs w:val="32"/>
          <w:highlight w:val="none"/>
          <w:lang w:val="en-US" w:eastAsia="zh-CN"/>
        </w:rPr>
        <w:t>2025年5月，结合社会征集意见情况，起草组收到来自中国疾病预防控制中心传染病预防控制所、北京市疾病预防控制中心、上海市疾病预防控制中心、内蒙古自治区疾病预防控制中心、福建省疾病预防控制中心、江苏省疾病预防控制中心、浙江省疾病预防控制中心、沈阳市疾病预防控制中心、沈阳市卫生健康监督中心、沈阳市实验学校、辽宁金融职业学院、沈河区人民医院、沈阳新美净环保清洁技术有限公司、沈阳峥嵘消杀服务有限公司等省内外反馈意见59条，其中重复意见16条，经起草组成员反复讨论，2</w:t>
      </w:r>
      <w:r>
        <w:rPr>
          <w:rFonts w:hint="default" w:ascii="Times New Roman" w:hAnsi="Times New Roman" w:eastAsia="仿宋" w:cs="Times New Roman"/>
          <w:snapToGrid/>
          <w:kern w:val="0"/>
          <w:sz w:val="32"/>
          <w:szCs w:val="32"/>
          <w:highlight w:val="none"/>
          <w:lang w:val="en-US" w:eastAsia="zh-CN"/>
        </w:rPr>
        <w:t>4</w:t>
      </w:r>
      <w:r>
        <w:rPr>
          <w:rFonts w:hint="eastAsia" w:ascii="Times New Roman" w:hAnsi="Times New Roman" w:eastAsia="仿宋" w:cs="Times New Roman"/>
          <w:snapToGrid/>
          <w:kern w:val="0"/>
          <w:sz w:val="32"/>
          <w:szCs w:val="32"/>
          <w:highlight w:val="none"/>
          <w:lang w:val="en-US" w:eastAsia="zh-CN"/>
        </w:rPr>
        <w:t>条意见已采纳，</w:t>
      </w:r>
      <w:r>
        <w:rPr>
          <w:rFonts w:hint="default" w:ascii="Times New Roman" w:hAnsi="Times New Roman" w:eastAsia="仿宋" w:cs="Times New Roman"/>
          <w:snapToGrid/>
          <w:kern w:val="0"/>
          <w:sz w:val="32"/>
          <w:szCs w:val="32"/>
          <w:highlight w:val="none"/>
          <w:lang w:val="en-US" w:eastAsia="zh-CN"/>
        </w:rPr>
        <w:t>8</w:t>
      </w:r>
      <w:r>
        <w:rPr>
          <w:rFonts w:hint="eastAsia" w:ascii="Times New Roman" w:hAnsi="Times New Roman" w:eastAsia="仿宋" w:cs="Times New Roman"/>
          <w:snapToGrid/>
          <w:kern w:val="0"/>
          <w:sz w:val="32"/>
          <w:szCs w:val="32"/>
          <w:highlight w:val="none"/>
          <w:lang w:val="en-US" w:eastAsia="zh-CN"/>
        </w:rPr>
        <w:t>条意见部分采纳，2</w:t>
      </w:r>
      <w:r>
        <w:rPr>
          <w:rFonts w:hint="default" w:ascii="Times New Roman" w:hAnsi="Times New Roman" w:eastAsia="仿宋" w:cs="Times New Roman"/>
          <w:snapToGrid/>
          <w:kern w:val="0"/>
          <w:sz w:val="32"/>
          <w:szCs w:val="32"/>
          <w:highlight w:val="none"/>
          <w:lang w:val="en-US" w:eastAsia="zh-CN"/>
        </w:rPr>
        <w:t>7</w:t>
      </w:r>
      <w:r>
        <w:rPr>
          <w:rFonts w:hint="eastAsia" w:ascii="Times New Roman" w:hAnsi="Times New Roman" w:eastAsia="仿宋" w:cs="Times New Roman"/>
          <w:snapToGrid/>
          <w:kern w:val="0"/>
          <w:sz w:val="32"/>
          <w:szCs w:val="32"/>
          <w:highlight w:val="none"/>
          <w:lang w:val="en-US" w:eastAsia="zh-CN"/>
        </w:rPr>
        <w:t>条意见未采纳，并给出了不采纳理由，进一步整理后，形成了标准送审稿</w:t>
      </w:r>
      <w:r>
        <w:rPr>
          <w:rFonts w:hint="eastAsia" w:ascii="Times New Roman" w:hAnsi="Times New Roman" w:eastAsia="仿宋" w:cs="Times New Roman"/>
          <w:snapToGrid/>
          <w:kern w:val="0"/>
          <w:sz w:val="32"/>
          <w:szCs w:val="32"/>
          <w:lang w:val="en-US" w:eastAsia="zh-CN"/>
        </w:rPr>
        <w:t>。</w:t>
      </w:r>
      <w:bookmarkStart w:id="15" w:name="bookmark22"/>
      <w:bookmarkEnd w:id="15"/>
      <w:bookmarkStart w:id="16" w:name="bookmark24"/>
      <w:bookmarkEnd w:id="16"/>
      <w:bookmarkStart w:id="17" w:name="bookmark23"/>
      <w:bookmarkEnd w:id="17"/>
    </w:p>
    <w:p w14:paraId="65EBB5C6">
      <w:pPr>
        <w:keepNext w:val="0"/>
        <w:keepLines w:val="0"/>
        <w:pageBreakBefore w:val="0"/>
        <w:widowControl/>
        <w:kinsoku w:val="0"/>
        <w:wordWrap/>
        <w:overflowPunct/>
        <w:topLinePunct w:val="0"/>
        <w:autoSpaceDE w:val="0"/>
        <w:autoSpaceDN w:val="0"/>
        <w:bidi w:val="0"/>
        <w:adjustRightInd w:val="0"/>
        <w:snapToGrid w:val="0"/>
        <w:spacing w:line="600" w:lineRule="exact"/>
        <w:ind w:firstLine="668" w:firstLineChars="200"/>
        <w:jc w:val="both"/>
        <w:textAlignment w:val="baseline"/>
        <w:outlineLvl w:val="0"/>
        <w:rPr>
          <w:sz w:val="32"/>
          <w:szCs w:val="32"/>
          <w:highlight w:val="none"/>
        </w:rPr>
      </w:pPr>
      <w:bookmarkStart w:id="18" w:name="_Toc919818906"/>
      <w:r>
        <w:rPr>
          <w:rFonts w:hint="eastAsia" w:ascii="黑体" w:hAnsi="黑体" w:eastAsia="黑体" w:cs="黑体"/>
          <w:b w:val="0"/>
          <w:bCs w:val="0"/>
          <w:spacing w:val="7"/>
          <w:sz w:val="32"/>
          <w:szCs w:val="32"/>
          <w:highlight w:val="none"/>
        </w:rPr>
        <w:t>二、标准编制原则和确定地方标准主要内容的论据</w:t>
      </w:r>
      <w:bookmarkEnd w:id="18"/>
    </w:p>
    <w:p w14:paraId="773CAC1E">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588" w:firstLineChars="200"/>
        <w:jc w:val="both"/>
        <w:textAlignment w:val="baseline"/>
        <w:outlineLvl w:val="1"/>
        <w:rPr>
          <w:sz w:val="32"/>
          <w:szCs w:val="32"/>
          <w:highlight w:val="none"/>
        </w:rPr>
      </w:pPr>
      <w:bookmarkStart w:id="19" w:name="_Toc1189422616"/>
      <w:r>
        <w:rPr>
          <w:rFonts w:hint="eastAsia" w:ascii="楷体" w:hAnsi="楷体" w:eastAsia="楷体" w:cs="楷体"/>
          <w:b w:val="0"/>
          <w:bCs w:val="0"/>
          <w:spacing w:val="-13"/>
          <w:sz w:val="32"/>
          <w:szCs w:val="32"/>
          <w:highlight w:val="none"/>
        </w:rPr>
        <w:t>（一）编制原则</w:t>
      </w:r>
      <w:bookmarkEnd w:id="19"/>
    </w:p>
    <w:p w14:paraId="3525AD05">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32" w:firstLineChars="200"/>
        <w:jc w:val="both"/>
        <w:textAlignment w:val="baseline"/>
        <w:outlineLvl w:val="2"/>
        <w:rPr>
          <w:rFonts w:hint="eastAsia" w:ascii="Times New Roman" w:hAnsi="Times New Roman" w:eastAsia="仿宋" w:cs="仿宋"/>
          <w:b w:val="0"/>
          <w:bCs w:val="0"/>
          <w:spacing w:val="-2"/>
          <w:sz w:val="32"/>
          <w:szCs w:val="32"/>
          <w:highlight w:val="none"/>
        </w:rPr>
      </w:pPr>
      <w:bookmarkStart w:id="20" w:name="_Toc1945824177"/>
      <w:r>
        <w:rPr>
          <w:rFonts w:hint="eastAsia" w:ascii="Times New Roman" w:hAnsi="Times New Roman" w:eastAsia="仿宋" w:cs="仿宋"/>
          <w:b w:val="0"/>
          <w:bCs w:val="0"/>
          <w:spacing w:val="-2"/>
          <w:sz w:val="32"/>
          <w:szCs w:val="32"/>
          <w:highlight w:val="none"/>
        </w:rPr>
        <w:t>1.科学性原则</w:t>
      </w:r>
      <w:bookmarkEnd w:id="20"/>
    </w:p>
    <w:p w14:paraId="09AFE4C5">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32" w:firstLineChars="200"/>
        <w:jc w:val="both"/>
        <w:textAlignment w:val="baseline"/>
        <w:rPr>
          <w:rFonts w:hint="eastAsia" w:ascii="Times New Roman" w:hAnsi="Times New Roman" w:eastAsia="仿宋" w:cs="仿宋"/>
          <w:b w:val="0"/>
          <w:bCs w:val="0"/>
          <w:sz w:val="32"/>
          <w:szCs w:val="32"/>
          <w:highlight w:val="none"/>
        </w:rPr>
      </w:pPr>
      <w:r>
        <w:rPr>
          <w:rFonts w:hint="eastAsia" w:ascii="Times New Roman" w:hAnsi="Times New Roman" w:eastAsia="仿宋" w:cs="仿宋"/>
          <w:b w:val="0"/>
          <w:bCs w:val="0"/>
          <w:spacing w:val="-2"/>
          <w:sz w:val="32"/>
          <w:szCs w:val="32"/>
          <w:highlight w:val="none"/>
        </w:rPr>
        <w:t>本规范各项技术遵循国际标准、国家标准、行业和相关规范</w:t>
      </w:r>
      <w:r>
        <w:rPr>
          <w:rFonts w:hint="eastAsia" w:ascii="Times New Roman" w:hAnsi="Times New Roman" w:eastAsia="仿宋" w:cs="仿宋"/>
          <w:b w:val="0"/>
          <w:bCs w:val="0"/>
          <w:spacing w:val="-2"/>
          <w:sz w:val="32"/>
          <w:szCs w:val="32"/>
          <w:highlight w:val="none"/>
          <w:lang w:eastAsia="zh-CN"/>
        </w:rPr>
        <w:t>，充分依据鼠的生态习性、繁殖规律、采食偏好等生物学特征制定防制策略，采用经科学验证有效的监测与防制技术，为鼠防制相关人员提供一套系统的方法和指导。</w:t>
      </w:r>
      <w:r>
        <w:rPr>
          <w:rFonts w:hint="eastAsia" w:ascii="Times New Roman" w:hAnsi="Times New Roman" w:eastAsia="仿宋" w:cs="仿宋"/>
          <w:b w:val="0"/>
          <w:bCs w:val="0"/>
          <w:spacing w:val="-2"/>
          <w:sz w:val="32"/>
          <w:szCs w:val="32"/>
          <w:highlight w:val="none"/>
        </w:rPr>
        <w:t>本标准</w:t>
      </w:r>
      <w:r>
        <w:rPr>
          <w:rFonts w:hint="eastAsia" w:ascii="Times New Roman" w:eastAsia="仿宋"/>
          <w:b w:val="0"/>
          <w:bCs w:val="0"/>
          <w:kern w:val="2"/>
          <w:sz w:val="32"/>
          <w:szCs w:val="32"/>
          <w:highlight w:val="none"/>
        </w:rPr>
        <w:t>与现有的GB/T 23798 —</w:t>
      </w:r>
      <w:r>
        <w:rPr>
          <w:rFonts w:hint="eastAsia" w:ascii="Times New Roman" w:eastAsia="仿宋"/>
          <w:b w:val="0"/>
          <w:bCs w:val="0"/>
          <w:kern w:val="2"/>
          <w:sz w:val="32"/>
          <w:szCs w:val="32"/>
          <w:highlight w:val="none"/>
          <w:lang w:val="en-US" w:eastAsia="zh-CN"/>
        </w:rPr>
        <w:t>2009</w:t>
      </w:r>
      <w:r>
        <w:rPr>
          <w:rFonts w:hint="eastAsia" w:ascii="Times New Roman" w:eastAsia="仿宋"/>
          <w:b w:val="0"/>
          <w:bCs w:val="0"/>
          <w:kern w:val="2"/>
          <w:sz w:val="32"/>
          <w:szCs w:val="32"/>
          <w:highlight w:val="none"/>
        </w:rPr>
        <w:t>病媒生物密度监测方法 鼠类和GB/T 39503—</w:t>
      </w:r>
      <w:r>
        <w:rPr>
          <w:rFonts w:hint="eastAsia" w:ascii="Times New Roman" w:hAnsi="Times New Roman" w:eastAsia="仿宋" w:cs="Times New Roman"/>
          <w:snapToGrid/>
          <w:kern w:val="0"/>
          <w:sz w:val="32"/>
          <w:szCs w:val="32"/>
          <w:lang w:val="en-US" w:eastAsia="zh-CN" w:bidi="ar-SA"/>
        </w:rPr>
        <w:t>2020</w:t>
      </w:r>
      <w:r>
        <w:rPr>
          <w:rFonts w:hint="eastAsia" w:ascii="Times New Roman" w:eastAsia="仿宋"/>
          <w:b w:val="0"/>
          <w:bCs w:val="0"/>
          <w:kern w:val="2"/>
          <w:sz w:val="32"/>
          <w:szCs w:val="32"/>
          <w:highlight w:val="none"/>
        </w:rPr>
        <w:t>病媒生物综合管理技术规范 学校相协调一致。</w:t>
      </w:r>
    </w:p>
    <w:p w14:paraId="1FEF3D37">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32" w:firstLineChars="200"/>
        <w:jc w:val="both"/>
        <w:textAlignment w:val="baseline"/>
        <w:outlineLvl w:val="2"/>
        <w:rPr>
          <w:rFonts w:hint="eastAsia" w:ascii="Times New Roman" w:hAnsi="Times New Roman" w:eastAsia="仿宋" w:cs="仿宋"/>
          <w:b w:val="0"/>
          <w:bCs w:val="0"/>
          <w:spacing w:val="-2"/>
          <w:sz w:val="32"/>
          <w:szCs w:val="32"/>
          <w:highlight w:val="green"/>
        </w:rPr>
      </w:pPr>
      <w:bookmarkStart w:id="21" w:name="_Toc372027449"/>
      <w:r>
        <w:rPr>
          <w:rFonts w:hint="eastAsia" w:ascii="Times New Roman" w:hAnsi="Times New Roman" w:eastAsia="仿宋" w:cs="仿宋"/>
          <w:b w:val="0"/>
          <w:bCs w:val="0"/>
          <w:spacing w:val="-2"/>
          <w:sz w:val="32"/>
          <w:szCs w:val="32"/>
          <w:highlight w:val="none"/>
        </w:rPr>
        <w:t>2.实用性原则</w:t>
      </w:r>
      <w:bookmarkEnd w:id="21"/>
    </w:p>
    <w:p w14:paraId="29C279AE">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32" w:firstLineChars="200"/>
        <w:jc w:val="both"/>
        <w:textAlignment w:val="baseline"/>
        <w:rPr>
          <w:rFonts w:hint="eastAsia" w:ascii="Times New Roman" w:hAnsi="Times New Roman" w:eastAsia="仿宋" w:cs="仿宋"/>
          <w:b w:val="0"/>
          <w:bCs w:val="0"/>
          <w:spacing w:val="-2"/>
          <w:sz w:val="32"/>
          <w:szCs w:val="32"/>
          <w:highlight w:val="none"/>
          <w:lang w:eastAsia="zh-CN"/>
        </w:rPr>
      </w:pPr>
      <w:r>
        <w:rPr>
          <w:rFonts w:hint="eastAsia" w:ascii="Times New Roman" w:hAnsi="Times New Roman" w:eastAsia="仿宋" w:cs="仿宋"/>
          <w:b w:val="0"/>
          <w:bCs w:val="0"/>
          <w:spacing w:val="-2"/>
          <w:sz w:val="32"/>
          <w:szCs w:val="32"/>
          <w:highlight w:val="none"/>
          <w:lang w:eastAsia="zh-CN"/>
        </w:rPr>
        <w:t>本规范能够确保防制标准中的措施简便易行，使校园相关工作人员都能理解并执行；考虑到鼠可能出现的各类地点，制定具有普适性的防制标准，满足不同环境的实际需求。</w:t>
      </w:r>
    </w:p>
    <w:p w14:paraId="384143E7">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32" w:firstLineChars="200"/>
        <w:jc w:val="both"/>
        <w:textAlignment w:val="baseline"/>
        <w:outlineLvl w:val="2"/>
        <w:rPr>
          <w:rFonts w:hint="eastAsia" w:ascii="Times New Roman" w:hAnsi="Times New Roman" w:eastAsia="仿宋" w:cs="仿宋"/>
          <w:b w:val="0"/>
          <w:bCs w:val="0"/>
          <w:spacing w:val="-2"/>
          <w:sz w:val="32"/>
          <w:szCs w:val="32"/>
          <w:highlight w:val="green"/>
        </w:rPr>
      </w:pPr>
      <w:bookmarkStart w:id="22" w:name="_Toc1780777415"/>
      <w:r>
        <w:rPr>
          <w:rFonts w:hint="eastAsia" w:ascii="Times New Roman" w:hAnsi="Times New Roman" w:eastAsia="仿宋" w:cs="仿宋"/>
          <w:b w:val="0"/>
          <w:bCs w:val="0"/>
          <w:spacing w:val="-2"/>
          <w:sz w:val="32"/>
          <w:szCs w:val="32"/>
          <w:highlight w:val="none"/>
        </w:rPr>
        <w:t>3.</w:t>
      </w:r>
      <w:r>
        <w:rPr>
          <w:rFonts w:hint="eastAsia" w:ascii="Times New Roman" w:hAnsi="Times New Roman" w:eastAsia="仿宋" w:cs="仿宋"/>
          <w:b w:val="0"/>
          <w:bCs w:val="0"/>
          <w:spacing w:val="-2"/>
          <w:sz w:val="32"/>
          <w:szCs w:val="32"/>
          <w:highlight w:val="none"/>
          <w:lang w:eastAsia="zh-CN"/>
        </w:rPr>
        <w:t>安全</w:t>
      </w:r>
      <w:r>
        <w:rPr>
          <w:rFonts w:hint="eastAsia" w:ascii="Times New Roman" w:hAnsi="Times New Roman" w:eastAsia="仿宋" w:cs="仿宋"/>
          <w:b w:val="0"/>
          <w:bCs w:val="0"/>
          <w:spacing w:val="-2"/>
          <w:sz w:val="32"/>
          <w:szCs w:val="32"/>
          <w:highlight w:val="none"/>
        </w:rPr>
        <w:t>性原则</w:t>
      </w:r>
      <w:bookmarkEnd w:id="22"/>
    </w:p>
    <w:p w14:paraId="30329728">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32" w:firstLineChars="200"/>
        <w:jc w:val="both"/>
        <w:textAlignment w:val="baseline"/>
        <w:rPr>
          <w:rFonts w:hint="eastAsia" w:ascii="Times New Roman" w:hAnsi="Times New Roman" w:eastAsia="仿宋" w:cs="仿宋"/>
          <w:b w:val="0"/>
          <w:bCs w:val="0"/>
          <w:spacing w:val="-2"/>
          <w:sz w:val="32"/>
          <w:szCs w:val="32"/>
          <w:highlight w:val="none"/>
          <w:lang w:eastAsia="zh-CN"/>
        </w:rPr>
      </w:pPr>
      <w:r>
        <w:rPr>
          <w:rFonts w:hint="eastAsia" w:ascii="Times New Roman" w:hAnsi="Times New Roman" w:eastAsia="仿宋" w:cs="仿宋"/>
          <w:b w:val="0"/>
          <w:bCs w:val="0"/>
          <w:spacing w:val="-2"/>
          <w:sz w:val="32"/>
          <w:szCs w:val="32"/>
          <w:highlight w:val="none"/>
          <w:lang w:eastAsia="zh-CN"/>
        </w:rPr>
        <w:t>本规范的设计充分考虑到安全性要求，在化学防制中，严格选用符合国家标准、具有农药生产许可证或农药生产批准文件、农药标准和农药登记证、对人体毒性低、残留少的杀虫剂，并严格遵循产品说明书中的使用方法与剂量，防止对施药人员及学生造成健康危害。​</w:t>
      </w:r>
    </w:p>
    <w:p w14:paraId="3FBF611A">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32" w:firstLineChars="200"/>
        <w:jc w:val="both"/>
        <w:textAlignment w:val="baseline"/>
        <w:outlineLvl w:val="2"/>
        <w:rPr>
          <w:rFonts w:hint="eastAsia" w:ascii="Times New Roman" w:hAnsi="Times New Roman" w:eastAsia="仿宋" w:cs="仿宋"/>
          <w:b w:val="0"/>
          <w:bCs w:val="0"/>
          <w:spacing w:val="-2"/>
          <w:sz w:val="32"/>
          <w:szCs w:val="32"/>
          <w:highlight w:val="green"/>
        </w:rPr>
      </w:pPr>
      <w:bookmarkStart w:id="23" w:name="_Toc2013446664"/>
      <w:r>
        <w:rPr>
          <w:rFonts w:hint="eastAsia" w:ascii="Times New Roman" w:hAnsi="Times New Roman" w:eastAsia="仿宋" w:cs="仿宋"/>
          <w:b w:val="0"/>
          <w:bCs w:val="0"/>
          <w:spacing w:val="-2"/>
          <w:sz w:val="32"/>
          <w:szCs w:val="32"/>
          <w:highlight w:val="none"/>
        </w:rPr>
        <w:t>4.</w:t>
      </w:r>
      <w:r>
        <w:rPr>
          <w:rFonts w:hint="eastAsia" w:ascii="Times New Roman" w:hAnsi="Times New Roman" w:eastAsia="仿宋" w:cs="仿宋"/>
          <w:b w:val="0"/>
          <w:bCs w:val="0"/>
          <w:spacing w:val="-2"/>
          <w:sz w:val="32"/>
          <w:szCs w:val="32"/>
          <w:highlight w:val="none"/>
          <w:lang w:eastAsia="zh-CN"/>
        </w:rPr>
        <w:t>综合</w:t>
      </w:r>
      <w:r>
        <w:rPr>
          <w:rFonts w:hint="eastAsia" w:ascii="Times New Roman" w:hAnsi="Times New Roman" w:eastAsia="仿宋" w:cs="仿宋"/>
          <w:b w:val="0"/>
          <w:bCs w:val="0"/>
          <w:spacing w:val="-2"/>
          <w:sz w:val="32"/>
          <w:szCs w:val="32"/>
          <w:highlight w:val="none"/>
        </w:rPr>
        <w:t>性原则</w:t>
      </w:r>
      <w:bookmarkEnd w:id="23"/>
    </w:p>
    <w:p w14:paraId="0C7A1E50">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32" w:firstLineChars="200"/>
        <w:jc w:val="both"/>
        <w:textAlignment w:val="baseline"/>
        <w:rPr>
          <w:rFonts w:hint="eastAsia" w:ascii="Times New Roman" w:hAnsi="Times New Roman" w:eastAsia="仿宋" w:cs="仿宋"/>
          <w:b w:val="0"/>
          <w:bCs w:val="0"/>
          <w:spacing w:val="-2"/>
          <w:sz w:val="32"/>
          <w:szCs w:val="32"/>
          <w:highlight w:val="none"/>
          <w:lang w:eastAsia="zh-CN"/>
        </w:rPr>
      </w:pPr>
      <w:r>
        <w:rPr>
          <w:rFonts w:hint="eastAsia" w:ascii="Times New Roman" w:hAnsi="Times New Roman" w:eastAsia="仿宋" w:cs="仿宋"/>
          <w:b w:val="0"/>
          <w:bCs w:val="0"/>
          <w:spacing w:val="-2"/>
          <w:sz w:val="32"/>
          <w:szCs w:val="32"/>
          <w:highlight w:val="none"/>
          <w:lang w:eastAsia="zh-CN"/>
        </w:rPr>
        <w:t>综合运用物理、化学、环境治理等多种防制手段，发挥各自优势，形成协同效应，提高防制效果。</w:t>
      </w:r>
    </w:p>
    <w:p w14:paraId="70ACFB85">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32" w:firstLineChars="200"/>
        <w:jc w:val="both"/>
        <w:textAlignment w:val="baseline"/>
        <w:outlineLvl w:val="2"/>
        <w:rPr>
          <w:rFonts w:hint="eastAsia" w:ascii="Times New Roman" w:hAnsi="Times New Roman" w:eastAsia="仿宋" w:cs="仿宋"/>
          <w:b w:val="0"/>
          <w:bCs w:val="0"/>
          <w:spacing w:val="-2"/>
          <w:sz w:val="32"/>
          <w:szCs w:val="32"/>
          <w:highlight w:val="green"/>
        </w:rPr>
      </w:pPr>
      <w:bookmarkStart w:id="24" w:name="_Toc1049462584"/>
      <w:r>
        <w:rPr>
          <w:rFonts w:hint="eastAsia" w:ascii="Times New Roman" w:hAnsi="Times New Roman" w:eastAsia="仿宋" w:cs="仿宋"/>
          <w:b w:val="0"/>
          <w:bCs w:val="0"/>
          <w:spacing w:val="-2"/>
          <w:sz w:val="32"/>
          <w:szCs w:val="32"/>
          <w:highlight w:val="none"/>
        </w:rPr>
        <w:t>5.经济性原则</w:t>
      </w:r>
      <w:bookmarkEnd w:id="24"/>
    </w:p>
    <w:p w14:paraId="46FDACC1">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32" w:firstLineChars="200"/>
        <w:jc w:val="both"/>
        <w:textAlignment w:val="baseline"/>
        <w:rPr>
          <w:rFonts w:hint="eastAsia" w:ascii="Times New Roman" w:hAnsi="Times New Roman" w:eastAsia="仿宋" w:cs="仿宋"/>
          <w:b w:val="0"/>
          <w:bCs w:val="0"/>
          <w:spacing w:val="-2"/>
          <w:sz w:val="32"/>
          <w:szCs w:val="32"/>
          <w:highlight w:val="none"/>
          <w:lang w:eastAsia="zh-CN"/>
        </w:rPr>
      </w:pPr>
      <w:r>
        <w:rPr>
          <w:rFonts w:hint="eastAsia" w:ascii="Times New Roman" w:hAnsi="Times New Roman" w:eastAsia="仿宋" w:cs="仿宋"/>
          <w:b w:val="0"/>
          <w:bCs w:val="0"/>
          <w:spacing w:val="-2"/>
          <w:sz w:val="32"/>
          <w:szCs w:val="32"/>
          <w:highlight w:val="none"/>
          <w:lang w:eastAsia="zh-CN"/>
        </w:rPr>
        <w:t>规范的编制注重实践的社会效益、管理效益和经济效益。主要包括两方面的内容：对现有应用环境的保护，即选择的调查方法和防制方案最大限度的利用现有的人力、物资资源；对鼠防制延续性的保护，即防制方案的选择是可发展的，可以在一段时期内，确保防制工作的持续性与有效性。</w:t>
      </w:r>
    </w:p>
    <w:p w14:paraId="28A98380">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588" w:firstLineChars="200"/>
        <w:jc w:val="both"/>
        <w:textAlignment w:val="baseline"/>
        <w:outlineLvl w:val="1"/>
        <w:rPr>
          <w:rFonts w:hint="eastAsia" w:ascii="楷体" w:hAnsi="楷体" w:eastAsia="楷体" w:cs="楷体"/>
          <w:b w:val="0"/>
          <w:bCs w:val="0"/>
          <w:spacing w:val="-13"/>
          <w:sz w:val="32"/>
          <w:szCs w:val="32"/>
          <w:highlight w:val="green"/>
          <w:lang w:eastAsia="zh-CN"/>
        </w:rPr>
      </w:pPr>
      <w:bookmarkStart w:id="25" w:name="_Toc95652319"/>
      <w:r>
        <w:rPr>
          <w:rFonts w:hint="eastAsia" w:ascii="楷体" w:hAnsi="楷体" w:eastAsia="楷体" w:cs="楷体"/>
          <w:b w:val="0"/>
          <w:bCs w:val="0"/>
          <w:spacing w:val="-13"/>
          <w:sz w:val="32"/>
          <w:szCs w:val="32"/>
          <w:highlight w:val="none"/>
        </w:rPr>
        <w:t>（二）确定地方标准主要内容的论据</w:t>
      </w:r>
      <w:bookmarkEnd w:id="25"/>
    </w:p>
    <w:p w14:paraId="405F26C3">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16" w:firstLineChars="200"/>
        <w:jc w:val="both"/>
        <w:textAlignment w:val="baseline"/>
        <w:rPr>
          <w:rFonts w:ascii="Times New Roman" w:hAnsi="Times New Roman" w:eastAsia="仿宋" w:cs="宋体"/>
          <w:b w:val="0"/>
          <w:bCs w:val="0"/>
          <w:spacing w:val="-6"/>
          <w:sz w:val="32"/>
          <w:szCs w:val="32"/>
          <w:highlight w:val="none"/>
        </w:rPr>
      </w:pPr>
      <w:r>
        <w:rPr>
          <w:rFonts w:hint="eastAsia" w:ascii="Times New Roman" w:hAnsi="Times New Roman" w:eastAsia="仿宋" w:cs="宋体"/>
          <w:b w:val="0"/>
          <w:bCs w:val="0"/>
          <w:spacing w:val="-6"/>
          <w:sz w:val="32"/>
          <w:szCs w:val="32"/>
          <w:highlight w:val="none"/>
          <w:lang w:val="en-US" w:eastAsia="zh-CN"/>
        </w:rPr>
        <w:t>第</w:t>
      </w:r>
      <w:r>
        <w:rPr>
          <w:rFonts w:ascii="Times New Roman" w:hAnsi="Times New Roman" w:eastAsia="仿宋" w:cs="宋体"/>
          <w:b w:val="0"/>
          <w:bCs w:val="0"/>
          <w:spacing w:val="-6"/>
          <w:sz w:val="32"/>
          <w:szCs w:val="32"/>
          <w:highlight w:val="none"/>
        </w:rPr>
        <w:t>1</w:t>
      </w:r>
      <w:r>
        <w:rPr>
          <w:rFonts w:hint="eastAsia" w:ascii="Times New Roman" w:hAnsi="Times New Roman" w:eastAsia="仿宋" w:cs="宋体"/>
          <w:b w:val="0"/>
          <w:bCs w:val="0"/>
          <w:spacing w:val="-6"/>
          <w:sz w:val="32"/>
          <w:szCs w:val="32"/>
          <w:highlight w:val="none"/>
          <w:lang w:val="en-US" w:eastAsia="zh-CN"/>
        </w:rPr>
        <w:t>章</w:t>
      </w:r>
      <w:r>
        <w:rPr>
          <w:rFonts w:ascii="Times New Roman" w:hAnsi="Times New Roman" w:eastAsia="仿宋" w:cs="宋体"/>
          <w:b w:val="0"/>
          <w:bCs w:val="0"/>
          <w:spacing w:val="-6"/>
          <w:sz w:val="32"/>
          <w:szCs w:val="32"/>
          <w:highlight w:val="none"/>
        </w:rPr>
        <w:t>、2章分别给出了范围和规范性引用文件。</w:t>
      </w:r>
    </w:p>
    <w:p w14:paraId="11A1F2E2">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16" w:firstLineChars="200"/>
        <w:jc w:val="both"/>
        <w:textAlignment w:val="baseline"/>
        <w:rPr>
          <w:rFonts w:ascii="Times New Roman" w:hAnsi="Times New Roman" w:eastAsia="仿宋" w:cs="宋体"/>
          <w:b w:val="0"/>
          <w:bCs w:val="0"/>
          <w:sz w:val="32"/>
          <w:szCs w:val="32"/>
          <w:highlight w:val="none"/>
        </w:rPr>
      </w:pPr>
      <w:r>
        <w:rPr>
          <w:rFonts w:hint="eastAsia" w:ascii="Times New Roman" w:hAnsi="Times New Roman" w:eastAsia="仿宋" w:cs="宋体"/>
          <w:b w:val="0"/>
          <w:bCs w:val="0"/>
          <w:spacing w:val="-6"/>
          <w:sz w:val="32"/>
          <w:szCs w:val="32"/>
          <w:highlight w:val="none"/>
          <w:lang w:val="en-US" w:eastAsia="zh-CN"/>
        </w:rPr>
        <w:t>第</w:t>
      </w:r>
      <w:r>
        <w:rPr>
          <w:rFonts w:ascii="Times New Roman" w:hAnsi="Times New Roman" w:eastAsia="仿宋" w:cs="宋体"/>
          <w:b w:val="0"/>
          <w:bCs w:val="0"/>
          <w:spacing w:val="-6"/>
          <w:sz w:val="32"/>
          <w:szCs w:val="32"/>
          <w:highlight w:val="none"/>
        </w:rPr>
        <w:t>3章术语和定</w:t>
      </w:r>
      <w:r>
        <w:rPr>
          <w:rFonts w:ascii="Times New Roman" w:hAnsi="Times New Roman" w:eastAsia="仿宋" w:cs="宋体"/>
          <w:b w:val="0"/>
          <w:bCs w:val="0"/>
          <w:spacing w:val="-7"/>
          <w:sz w:val="32"/>
          <w:szCs w:val="32"/>
          <w:highlight w:val="none"/>
        </w:rPr>
        <w:t>义给出了</w:t>
      </w:r>
      <w:r>
        <w:rPr>
          <w:rFonts w:ascii="Times New Roman" w:hAnsi="Times New Roman" w:eastAsia="仿宋" w:cs="宋体"/>
          <w:b w:val="0"/>
          <w:bCs w:val="0"/>
          <w:spacing w:val="4"/>
          <w:sz w:val="32"/>
          <w:szCs w:val="32"/>
          <w:highlight w:val="none"/>
        </w:rPr>
        <w:t>本标准使用的</w:t>
      </w:r>
      <w:r>
        <w:rPr>
          <w:rFonts w:hint="eastAsia" w:ascii="Times New Roman" w:hAnsi="Times New Roman" w:eastAsia="仿宋" w:cs="宋体"/>
          <w:b w:val="0"/>
          <w:bCs w:val="0"/>
          <w:spacing w:val="4"/>
          <w:sz w:val="32"/>
          <w:szCs w:val="32"/>
          <w:highlight w:val="none"/>
          <w:lang w:eastAsia="zh-CN"/>
        </w:rPr>
        <w:t>鼠防制</w:t>
      </w:r>
      <w:r>
        <w:rPr>
          <w:rFonts w:ascii="Times New Roman" w:hAnsi="Times New Roman" w:eastAsia="仿宋" w:cs="宋体"/>
          <w:b w:val="0"/>
          <w:bCs w:val="0"/>
          <w:spacing w:val="4"/>
          <w:sz w:val="32"/>
          <w:szCs w:val="32"/>
          <w:highlight w:val="none"/>
        </w:rPr>
        <w:t>方面的定义：其中</w:t>
      </w:r>
      <w:r>
        <w:rPr>
          <w:rFonts w:hint="eastAsia" w:ascii="仿宋" w:hAnsi="仿宋" w:eastAsia="仿宋" w:cs="仿宋"/>
          <w:b w:val="0"/>
          <w:bCs w:val="0"/>
          <w:spacing w:val="4"/>
          <w:sz w:val="32"/>
          <w:szCs w:val="32"/>
          <w:highlight w:val="none"/>
        </w:rPr>
        <w:t>“</w:t>
      </w:r>
      <w:r>
        <w:rPr>
          <w:rFonts w:hint="eastAsia" w:ascii="Times New Roman" w:hAnsi="Times New Roman" w:eastAsia="仿宋" w:cs="宋体"/>
          <w:b w:val="0"/>
          <w:bCs w:val="0"/>
          <w:spacing w:val="4"/>
          <w:sz w:val="32"/>
          <w:szCs w:val="32"/>
          <w:highlight w:val="none"/>
          <w:lang w:val="en-US" w:eastAsia="zh-CN"/>
        </w:rPr>
        <w:t>3.1 校园</w:t>
      </w:r>
      <w:r>
        <w:rPr>
          <w:rFonts w:hint="eastAsia" w:ascii="仿宋" w:hAnsi="仿宋" w:eastAsia="仿宋" w:cs="仿宋"/>
          <w:b w:val="0"/>
          <w:bCs w:val="0"/>
          <w:spacing w:val="4"/>
          <w:sz w:val="32"/>
          <w:szCs w:val="32"/>
          <w:highlight w:val="none"/>
        </w:rPr>
        <w:t>”</w:t>
      </w:r>
      <w:r>
        <w:rPr>
          <w:rFonts w:hint="eastAsia" w:ascii="Times New Roman" w:hAnsi="Times New Roman" w:eastAsia="仿宋" w:cs="宋体"/>
          <w:b w:val="0"/>
          <w:bCs w:val="0"/>
          <w:spacing w:val="4"/>
          <w:sz w:val="32"/>
          <w:szCs w:val="32"/>
          <w:highlight w:val="none"/>
          <w:lang w:eastAsia="zh-CN"/>
        </w:rPr>
        <w:t>改写自</w:t>
      </w:r>
      <w:r>
        <w:rPr>
          <w:rFonts w:hint="eastAsia" w:ascii="Times New Roman" w:hAnsi="Times New Roman" w:eastAsia="仿宋" w:cs="Times New Roman"/>
          <w:snapToGrid/>
          <w:kern w:val="0"/>
          <w:sz w:val="32"/>
          <w:szCs w:val="32"/>
          <w:lang w:val="en-US" w:eastAsia="zh-CN"/>
        </w:rPr>
        <w:t>GB/T 39503</w:t>
      </w:r>
      <w:r>
        <w:rPr>
          <w:rFonts w:hint="eastAsia" w:ascii="Times New Roman" w:hAnsi="Times New Roman" w:eastAsia="仿宋" w:cs="Times New Roman"/>
          <w:snapToGrid/>
          <w:kern w:val="0"/>
          <w:sz w:val="32"/>
          <w:szCs w:val="32"/>
          <w:lang w:val="en-US" w:eastAsia="zh-CN" w:bidi="ar-SA"/>
        </w:rPr>
        <w:t>—2020</w:t>
      </w:r>
      <w:r>
        <w:rPr>
          <w:rFonts w:hint="eastAsia" w:ascii="Times New Roman" w:hAnsi="Times New Roman" w:eastAsia="仿宋" w:cs="Times New Roman"/>
          <w:snapToGrid/>
          <w:kern w:val="0"/>
          <w:sz w:val="32"/>
          <w:szCs w:val="32"/>
          <w:lang w:val="en-US" w:eastAsia="zh-CN"/>
        </w:rPr>
        <w:t>《 病媒生物综合管理技术规范 学校》</w:t>
      </w:r>
      <w:r>
        <w:rPr>
          <w:rFonts w:hint="eastAsia" w:ascii="Times New Roman" w:hAnsi="Times New Roman" w:eastAsia="仿宋" w:cs="宋体"/>
          <w:b w:val="0"/>
          <w:bCs w:val="0"/>
          <w:spacing w:val="4"/>
          <w:sz w:val="32"/>
          <w:szCs w:val="32"/>
          <w:highlight w:val="none"/>
          <w:lang w:val="en-US" w:eastAsia="zh-CN"/>
        </w:rPr>
        <w:t>3.1；“3.2 鼠迹”引自</w:t>
      </w:r>
      <w:r>
        <w:rPr>
          <w:rFonts w:hint="eastAsia" w:ascii="Times New Roman" w:hAnsi="Times New Roman" w:eastAsia="仿宋" w:cs="Times New Roman"/>
          <w:snapToGrid/>
          <w:kern w:val="0"/>
          <w:sz w:val="32"/>
          <w:szCs w:val="32"/>
          <w:lang w:val="en-US" w:eastAsia="zh-CN"/>
        </w:rPr>
        <w:t>GB/T 31721</w:t>
      </w:r>
      <w:r>
        <w:rPr>
          <w:rFonts w:hint="eastAsia" w:ascii="Times New Roman" w:hAnsi="Times New Roman" w:eastAsia="仿宋" w:cs="Times New Roman"/>
          <w:snapToGrid/>
          <w:kern w:val="0"/>
          <w:sz w:val="32"/>
          <w:szCs w:val="32"/>
          <w:lang w:val="en-US" w:eastAsia="zh-CN" w:bidi="ar-SA"/>
        </w:rPr>
        <w:t>—2015</w:t>
      </w:r>
      <w:r>
        <w:rPr>
          <w:rFonts w:hint="eastAsia" w:ascii="Times New Roman" w:hAnsi="Times New Roman" w:eastAsia="仿宋" w:cs="Times New Roman"/>
          <w:snapToGrid/>
          <w:kern w:val="0"/>
          <w:sz w:val="32"/>
          <w:szCs w:val="32"/>
          <w:lang w:val="en-US" w:eastAsia="zh-CN"/>
        </w:rPr>
        <w:t xml:space="preserve">《 病媒生物控制术语与分类》3.2.6 </w:t>
      </w:r>
      <w:r>
        <w:rPr>
          <w:rFonts w:hint="eastAsia" w:ascii="Times New Roman" w:hAnsi="Times New Roman" w:eastAsia="仿宋" w:cs="宋体"/>
          <w:b w:val="0"/>
          <w:bCs w:val="0"/>
          <w:spacing w:val="4"/>
          <w:sz w:val="32"/>
          <w:szCs w:val="32"/>
          <w:highlight w:val="none"/>
          <w:lang w:val="en-US" w:eastAsia="zh-CN"/>
        </w:rPr>
        <w:t>；“3.3 防鼠设施”引自</w:t>
      </w:r>
      <w:r>
        <w:rPr>
          <w:rFonts w:hint="eastAsia" w:ascii="Times New Roman" w:hAnsi="Times New Roman" w:eastAsia="仿宋" w:cs="Times New Roman"/>
          <w:snapToGrid/>
          <w:kern w:val="0"/>
          <w:sz w:val="32"/>
          <w:szCs w:val="32"/>
          <w:lang w:val="en-US" w:eastAsia="zh-CN"/>
        </w:rPr>
        <w:t>GB/T 31712</w:t>
      </w:r>
      <w:r>
        <w:rPr>
          <w:rFonts w:hint="eastAsia" w:ascii="Times New Roman" w:hAnsi="Times New Roman" w:eastAsia="仿宋" w:cs="Times New Roman"/>
          <w:snapToGrid/>
          <w:kern w:val="0"/>
          <w:sz w:val="32"/>
          <w:szCs w:val="32"/>
          <w:lang w:val="en-US" w:eastAsia="zh-CN" w:bidi="ar-SA"/>
        </w:rPr>
        <w:t>—2015</w:t>
      </w:r>
      <w:r>
        <w:rPr>
          <w:rFonts w:hint="eastAsia" w:ascii="Times New Roman" w:hAnsi="Times New Roman" w:eastAsia="仿宋" w:cs="Times New Roman"/>
          <w:snapToGrid/>
          <w:kern w:val="0"/>
          <w:sz w:val="32"/>
          <w:szCs w:val="32"/>
          <w:lang w:val="en-US" w:eastAsia="zh-CN"/>
        </w:rPr>
        <w:t>《 病媒生物综合管理技术规范 环境治理 鼠类 》3.3</w:t>
      </w:r>
      <w:r>
        <w:rPr>
          <w:rFonts w:hint="eastAsia" w:ascii="Times New Roman" w:hAnsi="Times New Roman" w:eastAsia="仿宋" w:cs="宋体"/>
          <w:b w:val="0"/>
          <w:bCs w:val="0"/>
          <w:spacing w:val="4"/>
          <w:sz w:val="32"/>
          <w:szCs w:val="32"/>
          <w:highlight w:val="none"/>
          <w:lang w:val="en-US" w:eastAsia="zh-CN"/>
        </w:rPr>
        <w:t>；“3.4 环境治理”引自</w:t>
      </w:r>
      <w:r>
        <w:rPr>
          <w:rFonts w:hint="eastAsia" w:ascii="Times New Roman" w:hAnsi="Times New Roman" w:eastAsia="仿宋" w:cs="Times New Roman"/>
          <w:snapToGrid/>
          <w:kern w:val="0"/>
          <w:sz w:val="32"/>
          <w:szCs w:val="32"/>
          <w:lang w:val="en-US" w:eastAsia="zh-CN"/>
        </w:rPr>
        <w:t>GB/T 31712</w:t>
      </w:r>
      <w:r>
        <w:rPr>
          <w:rFonts w:hint="eastAsia" w:ascii="Times New Roman" w:hAnsi="Times New Roman" w:eastAsia="仿宋" w:cs="Times New Roman"/>
          <w:snapToGrid/>
          <w:kern w:val="0"/>
          <w:sz w:val="32"/>
          <w:szCs w:val="32"/>
          <w:lang w:val="en-US" w:eastAsia="zh-CN" w:bidi="ar-SA"/>
        </w:rPr>
        <w:t>—2015</w:t>
      </w:r>
      <w:r>
        <w:rPr>
          <w:rFonts w:hint="eastAsia" w:ascii="Times New Roman" w:hAnsi="Times New Roman" w:eastAsia="仿宋" w:cs="Times New Roman"/>
          <w:snapToGrid/>
          <w:kern w:val="0"/>
          <w:sz w:val="32"/>
          <w:szCs w:val="32"/>
          <w:lang w:val="en-US" w:eastAsia="zh-CN"/>
        </w:rPr>
        <w:t>《 病媒生物综合管理技术规范 环境治理 鼠类 》3.2</w:t>
      </w:r>
      <w:r>
        <w:rPr>
          <w:rFonts w:hint="eastAsia" w:ascii="Times New Roman" w:hAnsi="Times New Roman" w:eastAsia="仿宋" w:cs="宋体"/>
          <w:b w:val="0"/>
          <w:bCs w:val="0"/>
          <w:spacing w:val="4"/>
          <w:sz w:val="32"/>
          <w:szCs w:val="32"/>
          <w:highlight w:val="none"/>
          <w:lang w:val="en-US" w:eastAsia="zh-CN"/>
        </w:rPr>
        <w:t>；“3.5 环境改造”引自</w:t>
      </w:r>
      <w:r>
        <w:rPr>
          <w:rFonts w:hint="eastAsia" w:ascii="Times New Roman" w:hAnsi="Times New Roman" w:eastAsia="仿宋" w:cs="Times New Roman"/>
          <w:snapToGrid/>
          <w:kern w:val="0"/>
          <w:sz w:val="32"/>
          <w:szCs w:val="32"/>
          <w:lang w:val="en-US" w:eastAsia="zh-CN"/>
        </w:rPr>
        <w:t>GB/T 31712</w:t>
      </w:r>
      <w:r>
        <w:rPr>
          <w:rFonts w:hint="eastAsia" w:ascii="Times New Roman" w:hAnsi="Times New Roman" w:eastAsia="仿宋" w:cs="Times New Roman"/>
          <w:snapToGrid/>
          <w:kern w:val="0"/>
          <w:sz w:val="32"/>
          <w:szCs w:val="32"/>
          <w:lang w:val="en-US" w:eastAsia="zh-CN" w:bidi="ar-SA"/>
        </w:rPr>
        <w:t>—2015</w:t>
      </w:r>
      <w:r>
        <w:rPr>
          <w:rFonts w:hint="eastAsia" w:ascii="Times New Roman" w:hAnsi="Times New Roman" w:eastAsia="仿宋" w:cs="Times New Roman"/>
          <w:snapToGrid/>
          <w:kern w:val="0"/>
          <w:sz w:val="32"/>
          <w:szCs w:val="32"/>
          <w:lang w:val="en-US" w:eastAsia="zh-CN"/>
        </w:rPr>
        <w:t>《 病媒生物综合管理技术规范 环境治理 鼠类 》3.1</w:t>
      </w:r>
      <w:r>
        <w:rPr>
          <w:rFonts w:hint="eastAsia" w:ascii="Times New Roman" w:hAnsi="Times New Roman" w:eastAsia="仿宋" w:cs="宋体"/>
          <w:b w:val="0"/>
          <w:bCs w:val="0"/>
          <w:spacing w:val="4"/>
          <w:sz w:val="32"/>
          <w:szCs w:val="32"/>
          <w:highlight w:val="none"/>
          <w:lang w:val="en-US" w:eastAsia="zh-CN"/>
        </w:rPr>
        <w:t>。</w:t>
      </w:r>
    </w:p>
    <w:p w14:paraId="2B95C8C6">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16" w:firstLineChars="200"/>
        <w:jc w:val="both"/>
        <w:textAlignment w:val="baseline"/>
        <w:rPr>
          <w:rFonts w:ascii="Times New Roman" w:hAnsi="Times New Roman" w:eastAsia="仿宋" w:cs="宋体"/>
          <w:b w:val="0"/>
          <w:bCs w:val="0"/>
          <w:sz w:val="32"/>
          <w:szCs w:val="32"/>
          <w:highlight w:val="none"/>
        </w:rPr>
      </w:pPr>
      <w:r>
        <w:rPr>
          <w:rFonts w:ascii="Times New Roman" w:hAnsi="Times New Roman" w:eastAsia="仿宋" w:cs="宋体"/>
          <w:b w:val="0"/>
          <w:bCs w:val="0"/>
          <w:spacing w:val="-6"/>
          <w:sz w:val="32"/>
          <w:szCs w:val="32"/>
          <w:highlight w:val="none"/>
        </w:rPr>
        <w:t>4</w:t>
      </w:r>
      <w:r>
        <w:rPr>
          <w:rFonts w:ascii="Times New Roman" w:hAnsi="Times New Roman" w:eastAsia="仿宋" w:cs="宋体"/>
          <w:b w:val="0"/>
          <w:bCs w:val="0"/>
          <w:spacing w:val="-49"/>
          <w:sz w:val="32"/>
          <w:szCs w:val="32"/>
          <w:highlight w:val="none"/>
        </w:rPr>
        <w:t xml:space="preserve"> </w:t>
      </w:r>
      <w:r>
        <w:rPr>
          <w:rFonts w:hint="eastAsia" w:ascii="Times New Roman" w:hAnsi="Times New Roman" w:eastAsia="仿宋" w:cs="宋体"/>
          <w:b w:val="0"/>
          <w:bCs w:val="0"/>
          <w:spacing w:val="-6"/>
          <w:sz w:val="32"/>
          <w:szCs w:val="32"/>
          <w:highlight w:val="none"/>
          <w:lang w:eastAsia="zh-CN"/>
        </w:rPr>
        <w:t>总体原则</w:t>
      </w:r>
      <w:r>
        <w:rPr>
          <w:rFonts w:ascii="Times New Roman" w:hAnsi="Times New Roman" w:eastAsia="仿宋" w:cs="宋体"/>
          <w:b w:val="0"/>
          <w:bCs w:val="0"/>
          <w:spacing w:val="-6"/>
          <w:sz w:val="32"/>
          <w:szCs w:val="32"/>
          <w:highlight w:val="none"/>
        </w:rPr>
        <w:t>。</w:t>
      </w:r>
      <w:r>
        <w:rPr>
          <w:rFonts w:hint="eastAsia" w:ascii="Times New Roman" w:hAnsi="Times New Roman" w:eastAsia="仿宋" w:cs="宋体"/>
          <w:b w:val="0"/>
          <w:bCs w:val="0"/>
          <w:spacing w:val="-6"/>
          <w:sz w:val="32"/>
          <w:szCs w:val="32"/>
          <w:highlight w:val="none"/>
          <w:lang w:eastAsia="zh-CN"/>
        </w:rPr>
        <w:t>本章</w:t>
      </w:r>
      <w:r>
        <w:rPr>
          <w:rFonts w:ascii="Times New Roman" w:hAnsi="Times New Roman" w:eastAsia="仿宋" w:cs="宋体"/>
          <w:b w:val="0"/>
          <w:bCs w:val="0"/>
          <w:spacing w:val="-6"/>
          <w:sz w:val="32"/>
          <w:szCs w:val="32"/>
          <w:highlight w:val="none"/>
        </w:rPr>
        <w:t>给出了</w:t>
      </w:r>
      <w:r>
        <w:rPr>
          <w:rFonts w:hint="eastAsia" w:ascii="Times New Roman" w:hAnsi="Times New Roman" w:eastAsia="仿宋" w:cs="宋体"/>
          <w:b w:val="0"/>
          <w:bCs w:val="0"/>
          <w:spacing w:val="-6"/>
          <w:sz w:val="32"/>
          <w:szCs w:val="32"/>
          <w:highlight w:val="none"/>
          <w:lang w:eastAsia="zh-CN"/>
        </w:rPr>
        <w:t>鼠</w:t>
      </w:r>
      <w:r>
        <w:rPr>
          <w:rFonts w:hint="eastAsia" w:ascii="Times New Roman" w:hAnsi="Times New Roman" w:eastAsia="仿宋" w:cs="宋体"/>
          <w:b w:val="0"/>
          <w:bCs w:val="0"/>
          <w:spacing w:val="-6"/>
          <w:sz w:val="32"/>
          <w:szCs w:val="32"/>
          <w:highlight w:val="none"/>
        </w:rPr>
        <w:t>防制的总体原则是预防为主、风险管控、环境治理、物理防制优先、预防与控制结合</w:t>
      </w:r>
      <w:r>
        <w:rPr>
          <w:rFonts w:ascii="Times New Roman" w:hAnsi="Times New Roman" w:eastAsia="仿宋" w:cs="宋体"/>
          <w:b w:val="0"/>
          <w:bCs w:val="0"/>
          <w:spacing w:val="-3"/>
          <w:sz w:val="32"/>
          <w:szCs w:val="32"/>
          <w:highlight w:val="none"/>
        </w:rPr>
        <w:t>。</w:t>
      </w:r>
      <w:r>
        <w:rPr>
          <w:rFonts w:hint="eastAsia" w:ascii="Times New Roman" w:hAnsi="Times New Roman" w:eastAsia="仿宋" w:cs="宋体"/>
          <w:b w:val="0"/>
          <w:bCs w:val="0"/>
          <w:spacing w:val="-3"/>
          <w:sz w:val="32"/>
          <w:szCs w:val="32"/>
          <w:highlight w:val="none"/>
        </w:rPr>
        <w:t>来自实践工作总结后提出。</w:t>
      </w:r>
    </w:p>
    <w:p w14:paraId="29063D90">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0" w:firstLineChars="200"/>
        <w:jc w:val="both"/>
        <w:textAlignment w:val="baseline"/>
        <w:rPr>
          <w:rFonts w:ascii="Times New Roman" w:hAnsi="Times New Roman" w:eastAsia="仿宋" w:cs="宋体"/>
          <w:b w:val="0"/>
          <w:bCs w:val="0"/>
          <w:sz w:val="32"/>
          <w:szCs w:val="32"/>
          <w:highlight w:val="none"/>
        </w:rPr>
      </w:pPr>
      <w:r>
        <w:rPr>
          <w:rFonts w:ascii="Times New Roman" w:hAnsi="Times New Roman" w:eastAsia="仿宋" w:cs="宋体"/>
          <w:b w:val="0"/>
          <w:bCs w:val="0"/>
          <w:spacing w:val="-5"/>
          <w:sz w:val="32"/>
          <w:szCs w:val="32"/>
          <w:highlight w:val="none"/>
        </w:rPr>
        <w:t>5</w:t>
      </w:r>
      <w:r>
        <w:rPr>
          <w:rFonts w:ascii="Times New Roman" w:hAnsi="Times New Roman" w:eastAsia="仿宋" w:cs="宋体"/>
          <w:b w:val="0"/>
          <w:bCs w:val="0"/>
          <w:spacing w:val="-45"/>
          <w:sz w:val="32"/>
          <w:szCs w:val="32"/>
          <w:highlight w:val="none"/>
        </w:rPr>
        <w:t xml:space="preserve"> </w:t>
      </w:r>
      <w:r>
        <w:rPr>
          <w:rFonts w:hint="eastAsia" w:ascii="Times New Roman" w:hAnsi="Times New Roman" w:eastAsia="仿宋" w:cs="宋体"/>
          <w:b w:val="0"/>
          <w:bCs w:val="0"/>
          <w:spacing w:val="-5"/>
          <w:sz w:val="32"/>
          <w:szCs w:val="32"/>
          <w:highlight w:val="none"/>
          <w:lang w:eastAsia="zh-CN"/>
        </w:rPr>
        <w:t>密度调查</w:t>
      </w:r>
      <w:r>
        <w:rPr>
          <w:rFonts w:ascii="Times New Roman" w:hAnsi="Times New Roman" w:eastAsia="仿宋" w:cs="宋体"/>
          <w:b w:val="0"/>
          <w:bCs w:val="0"/>
          <w:spacing w:val="-5"/>
          <w:sz w:val="32"/>
          <w:szCs w:val="32"/>
          <w:highlight w:val="none"/>
        </w:rPr>
        <w:t>。</w:t>
      </w:r>
      <w:r>
        <w:rPr>
          <w:rFonts w:hint="eastAsia" w:ascii="Times New Roman" w:hAnsi="Times New Roman" w:eastAsia="仿宋" w:cs="宋体"/>
          <w:b w:val="0"/>
          <w:bCs w:val="0"/>
          <w:spacing w:val="-5"/>
          <w:sz w:val="32"/>
          <w:szCs w:val="32"/>
          <w:highlight w:val="none"/>
          <w:lang w:eastAsia="zh-CN"/>
        </w:rPr>
        <w:t>本章</w:t>
      </w:r>
      <w:r>
        <w:rPr>
          <w:rFonts w:ascii="Times New Roman" w:hAnsi="Times New Roman" w:eastAsia="仿宋" w:cs="宋体"/>
          <w:b w:val="0"/>
          <w:bCs w:val="0"/>
          <w:spacing w:val="-5"/>
          <w:sz w:val="32"/>
          <w:szCs w:val="32"/>
          <w:highlight w:val="none"/>
        </w:rPr>
        <w:t>给出了</w:t>
      </w:r>
      <w:r>
        <w:rPr>
          <w:rFonts w:hint="eastAsia" w:ascii="Times New Roman" w:hAnsi="Times New Roman" w:eastAsia="仿宋" w:cs="宋体"/>
          <w:b w:val="0"/>
          <w:bCs w:val="0"/>
          <w:spacing w:val="-5"/>
          <w:sz w:val="32"/>
          <w:szCs w:val="32"/>
          <w:highlight w:val="none"/>
          <w:lang w:eastAsia="zh-CN"/>
        </w:rPr>
        <w:t>鼠密度调查的方法：室内采用粘鼠板法、粉剂法或鼠迹法，室外采用鼠迹法或路径指数法调查鼠密度</w:t>
      </w:r>
      <w:r>
        <w:rPr>
          <w:rFonts w:ascii="Times New Roman" w:hAnsi="Times New Roman" w:eastAsia="仿宋" w:cs="宋体"/>
          <w:b w:val="0"/>
          <w:bCs w:val="0"/>
          <w:spacing w:val="-5"/>
          <w:sz w:val="32"/>
          <w:szCs w:val="32"/>
          <w:highlight w:val="none"/>
        </w:rPr>
        <w:t>。</w:t>
      </w:r>
    </w:p>
    <w:p w14:paraId="0F647136">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16" w:firstLineChars="200"/>
        <w:jc w:val="both"/>
        <w:textAlignment w:val="baseline"/>
        <w:rPr>
          <w:rFonts w:ascii="Times New Roman" w:hAnsi="Times New Roman" w:eastAsia="仿宋"/>
          <w:b w:val="0"/>
          <w:bCs w:val="0"/>
          <w:sz w:val="32"/>
          <w:szCs w:val="32"/>
          <w:highlight w:val="none"/>
        </w:rPr>
      </w:pPr>
      <w:r>
        <w:rPr>
          <w:rFonts w:ascii="Times New Roman" w:hAnsi="Times New Roman" w:eastAsia="仿宋" w:cs="宋体"/>
          <w:b w:val="0"/>
          <w:bCs w:val="0"/>
          <w:spacing w:val="-6"/>
          <w:sz w:val="32"/>
          <w:szCs w:val="32"/>
          <w:highlight w:val="none"/>
        </w:rPr>
        <w:t>6</w:t>
      </w:r>
      <w:r>
        <w:rPr>
          <w:rFonts w:hint="eastAsia" w:ascii="Times New Roman" w:hAnsi="Times New Roman" w:eastAsia="仿宋" w:cs="宋体"/>
          <w:b w:val="0"/>
          <w:bCs w:val="0"/>
          <w:spacing w:val="-6"/>
          <w:sz w:val="32"/>
          <w:szCs w:val="32"/>
          <w:highlight w:val="none"/>
          <w:lang w:val="en-US" w:eastAsia="zh-CN"/>
        </w:rPr>
        <w:t xml:space="preserve"> </w:t>
      </w:r>
      <w:r>
        <w:rPr>
          <w:rFonts w:hint="eastAsia" w:ascii="Times New Roman" w:hAnsi="Times New Roman" w:eastAsia="仿宋" w:cs="宋体"/>
          <w:b w:val="0"/>
          <w:bCs w:val="0"/>
          <w:spacing w:val="-6"/>
          <w:sz w:val="32"/>
          <w:szCs w:val="32"/>
          <w:highlight w:val="none"/>
        </w:rPr>
        <w:t>防制技术规范</w:t>
      </w:r>
      <w:r>
        <w:rPr>
          <w:rFonts w:ascii="Times New Roman" w:hAnsi="Times New Roman" w:eastAsia="仿宋" w:cs="宋体"/>
          <w:b w:val="0"/>
          <w:bCs w:val="0"/>
          <w:spacing w:val="-6"/>
          <w:sz w:val="32"/>
          <w:szCs w:val="32"/>
          <w:highlight w:val="none"/>
        </w:rPr>
        <w:t>。本章给出了</w:t>
      </w:r>
      <w:r>
        <w:rPr>
          <w:rFonts w:hint="eastAsia" w:ascii="Times New Roman" w:hAnsi="Times New Roman" w:eastAsia="仿宋" w:cs="宋体"/>
          <w:b w:val="0"/>
          <w:bCs w:val="0"/>
          <w:spacing w:val="-6"/>
          <w:sz w:val="32"/>
          <w:szCs w:val="32"/>
          <w:highlight w:val="none"/>
          <w:lang w:eastAsia="zh-CN"/>
        </w:rPr>
        <w:t>具体的鼠防制方案，按照环境治理、防鼠设施、鼠类防制及安全注意事项四方面给出不同鼠防制方法，</w:t>
      </w:r>
      <w:r>
        <w:rPr>
          <w:rFonts w:ascii="Times New Roman" w:hAnsi="Times New Roman" w:eastAsia="仿宋" w:cs="宋体"/>
          <w:b w:val="0"/>
          <w:bCs w:val="0"/>
          <w:spacing w:val="-4"/>
          <w:sz w:val="32"/>
          <w:szCs w:val="32"/>
          <w:highlight w:val="none"/>
        </w:rPr>
        <w:t>均来自实践工作总结后提出。</w:t>
      </w:r>
    </w:p>
    <w:p w14:paraId="770AFCFA">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68" w:firstLineChars="200"/>
        <w:jc w:val="both"/>
        <w:textAlignment w:val="baseline"/>
        <w:outlineLvl w:val="0"/>
        <w:rPr>
          <w:rFonts w:hint="eastAsia" w:ascii="黑体" w:hAnsi="黑体" w:eastAsia="黑体" w:cs="黑体"/>
          <w:b w:val="0"/>
          <w:bCs w:val="0"/>
          <w:spacing w:val="7"/>
          <w:sz w:val="32"/>
          <w:szCs w:val="32"/>
          <w:highlight w:val="none"/>
        </w:rPr>
      </w:pPr>
      <w:bookmarkStart w:id="26" w:name="_Toc580330661"/>
      <w:r>
        <w:rPr>
          <w:rFonts w:hint="eastAsia" w:ascii="黑体" w:hAnsi="黑体" w:eastAsia="黑体" w:cs="黑体"/>
          <w:b w:val="0"/>
          <w:bCs w:val="0"/>
          <w:spacing w:val="7"/>
          <w:sz w:val="32"/>
          <w:szCs w:val="32"/>
          <w:highlight w:val="none"/>
        </w:rPr>
        <w:t>三、主要试验（或验证）的分析、综述报告，技术经济论证，预</w:t>
      </w:r>
      <w:bookmarkStart w:id="27" w:name="bookmark11"/>
      <w:bookmarkEnd w:id="27"/>
      <w:r>
        <w:rPr>
          <w:rFonts w:hint="eastAsia" w:ascii="黑体" w:hAnsi="黑体" w:eastAsia="黑体" w:cs="黑体"/>
          <w:b w:val="0"/>
          <w:bCs w:val="0"/>
          <w:spacing w:val="7"/>
          <w:sz w:val="32"/>
          <w:szCs w:val="32"/>
          <w:highlight w:val="none"/>
        </w:rPr>
        <w:t>期经济社会生态效益分析</w:t>
      </w:r>
      <w:bookmarkEnd w:id="26"/>
    </w:p>
    <w:p w14:paraId="5797056D">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588" w:firstLineChars="200"/>
        <w:jc w:val="both"/>
        <w:textAlignment w:val="baseline"/>
        <w:outlineLvl w:val="1"/>
        <w:rPr>
          <w:sz w:val="32"/>
          <w:szCs w:val="32"/>
          <w:highlight w:val="none"/>
        </w:rPr>
      </w:pPr>
      <w:bookmarkStart w:id="28" w:name="_Toc468690303"/>
      <w:r>
        <w:rPr>
          <w:rFonts w:hint="eastAsia" w:ascii="楷体" w:hAnsi="楷体" w:eastAsia="楷体" w:cs="楷体"/>
          <w:b w:val="0"/>
          <w:bCs w:val="0"/>
          <w:spacing w:val="-13"/>
          <w:sz w:val="32"/>
          <w:szCs w:val="32"/>
          <w:highlight w:val="none"/>
        </w:rPr>
        <w:t>（一）行业概述</w:t>
      </w:r>
      <w:bookmarkEnd w:id="28"/>
    </w:p>
    <w:p w14:paraId="19999EB6">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16" w:firstLineChars="200"/>
        <w:jc w:val="both"/>
        <w:textAlignment w:val="baseline"/>
        <w:outlineLvl w:val="2"/>
        <w:rPr>
          <w:rFonts w:ascii="Times New Roman" w:hAnsi="Times New Roman" w:eastAsia="仿宋" w:cs="宋体"/>
          <w:b w:val="0"/>
          <w:bCs w:val="0"/>
          <w:spacing w:val="-6"/>
          <w:sz w:val="32"/>
          <w:szCs w:val="32"/>
          <w:highlight w:val="green"/>
        </w:rPr>
      </w:pPr>
      <w:bookmarkStart w:id="29" w:name="_Toc937879230"/>
      <w:r>
        <w:rPr>
          <w:rFonts w:ascii="Times New Roman" w:hAnsi="Times New Roman" w:eastAsia="仿宋" w:cs="宋体"/>
          <w:b w:val="0"/>
          <w:bCs w:val="0"/>
          <w:spacing w:val="-6"/>
          <w:sz w:val="32"/>
          <w:szCs w:val="32"/>
          <w:highlight w:val="none"/>
        </w:rPr>
        <w:t>1.政策层面</w:t>
      </w:r>
      <w:bookmarkEnd w:id="29"/>
    </w:p>
    <w:p w14:paraId="1984A0B8">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16" w:firstLineChars="200"/>
        <w:jc w:val="both"/>
        <w:textAlignment w:val="baseline"/>
        <w:rPr>
          <w:rFonts w:hint="eastAsia" w:ascii="Times New Roman" w:hAnsi="Times New Roman" w:eastAsia="仿宋" w:cs="宋体"/>
          <w:b w:val="0"/>
          <w:bCs w:val="0"/>
          <w:spacing w:val="-6"/>
          <w:sz w:val="32"/>
          <w:szCs w:val="32"/>
          <w:highlight w:val="none"/>
        </w:rPr>
      </w:pPr>
      <w:r>
        <w:rPr>
          <w:rFonts w:hint="eastAsia" w:ascii="Times New Roman" w:hAnsi="Times New Roman" w:eastAsia="仿宋" w:cs="宋体"/>
          <w:b w:val="0"/>
          <w:bCs w:val="0"/>
          <w:spacing w:val="-6"/>
          <w:sz w:val="32"/>
          <w:szCs w:val="32"/>
          <w:highlight w:val="none"/>
        </w:rPr>
        <w:t>在公共卫生安全备受瞩目的当下，全国爱卫</w:t>
      </w:r>
      <w:r>
        <w:rPr>
          <w:rFonts w:hint="eastAsia" w:ascii="Times New Roman" w:hAnsi="Times New Roman" w:eastAsia="仿宋" w:cs="宋体"/>
          <w:b w:val="0"/>
          <w:bCs w:val="0"/>
          <w:spacing w:val="-6"/>
          <w:sz w:val="32"/>
          <w:szCs w:val="32"/>
          <w:highlight w:val="none"/>
          <w:lang w:eastAsia="zh-CN"/>
        </w:rPr>
        <w:t>办</w:t>
      </w:r>
      <w:r>
        <w:rPr>
          <w:rFonts w:hint="eastAsia" w:ascii="Times New Roman" w:hAnsi="Times New Roman" w:eastAsia="仿宋" w:cs="宋体"/>
          <w:b w:val="0"/>
          <w:bCs w:val="0"/>
          <w:spacing w:val="-6"/>
          <w:sz w:val="32"/>
          <w:szCs w:val="32"/>
          <w:highlight w:val="none"/>
        </w:rPr>
        <w:t>等多部门协同发力，出台了一系列政策法规，为行业的稳健发展奠定坚实基础。2009年全国爱卫办、卫生部印发的《病媒生物预防控制管理规定》（全爱卫发〔2009〕9号）着重强调，对易招致或者孳生病媒生物的交通枢纽和医院、宾馆等特殊场所，均要求其指定人员负责病媒生物防控工作，增添防范和消杀设施。这一规定为</w:t>
      </w:r>
      <w:r>
        <w:rPr>
          <w:rFonts w:hint="eastAsia" w:ascii="Times New Roman" w:hAnsi="Times New Roman" w:eastAsia="仿宋" w:cs="宋体"/>
          <w:b w:val="0"/>
          <w:bCs w:val="0"/>
          <w:spacing w:val="-6"/>
          <w:sz w:val="32"/>
          <w:szCs w:val="32"/>
          <w:highlight w:val="none"/>
          <w:lang w:eastAsia="zh-CN"/>
        </w:rPr>
        <w:t>校园食堂鼠</w:t>
      </w:r>
      <w:r>
        <w:rPr>
          <w:rFonts w:hint="eastAsia" w:ascii="Times New Roman" w:hAnsi="Times New Roman" w:eastAsia="仿宋" w:cs="宋体"/>
          <w:b w:val="0"/>
          <w:bCs w:val="0"/>
          <w:spacing w:val="4"/>
          <w:sz w:val="32"/>
          <w:szCs w:val="32"/>
          <w:highlight w:val="none"/>
          <w:lang w:eastAsia="zh-CN"/>
        </w:rPr>
        <w:t>类</w:t>
      </w:r>
      <w:r>
        <w:rPr>
          <w:rFonts w:hint="eastAsia" w:ascii="Times New Roman" w:hAnsi="Times New Roman" w:eastAsia="仿宋" w:cs="宋体"/>
          <w:b w:val="0"/>
          <w:bCs w:val="0"/>
          <w:spacing w:val="-6"/>
          <w:sz w:val="32"/>
          <w:szCs w:val="32"/>
          <w:highlight w:val="none"/>
          <w:lang w:eastAsia="zh-CN"/>
        </w:rPr>
        <w:t>的</w:t>
      </w:r>
      <w:r>
        <w:rPr>
          <w:rFonts w:hint="eastAsia" w:ascii="Times New Roman" w:hAnsi="Times New Roman" w:eastAsia="仿宋" w:cs="宋体"/>
          <w:b w:val="0"/>
          <w:bCs w:val="0"/>
          <w:spacing w:val="-6"/>
          <w:sz w:val="32"/>
          <w:szCs w:val="32"/>
          <w:highlight w:val="none"/>
        </w:rPr>
        <w:t>防制</w:t>
      </w:r>
      <w:r>
        <w:rPr>
          <w:rFonts w:hint="eastAsia" w:ascii="Times New Roman" w:hAnsi="Times New Roman" w:eastAsia="仿宋" w:cs="宋体"/>
          <w:b w:val="0"/>
          <w:bCs w:val="0"/>
          <w:spacing w:val="-6"/>
          <w:sz w:val="32"/>
          <w:szCs w:val="32"/>
          <w:highlight w:val="none"/>
          <w:lang w:eastAsia="zh-CN"/>
        </w:rPr>
        <w:t>提供了强有力的依据</w:t>
      </w:r>
      <w:r>
        <w:rPr>
          <w:rFonts w:hint="eastAsia" w:ascii="Times New Roman" w:hAnsi="Times New Roman" w:eastAsia="仿宋" w:cs="宋体"/>
          <w:b w:val="0"/>
          <w:bCs w:val="0"/>
          <w:spacing w:val="-6"/>
          <w:sz w:val="32"/>
          <w:szCs w:val="32"/>
          <w:highlight w:val="none"/>
        </w:rPr>
        <w:t>。</w:t>
      </w:r>
    </w:p>
    <w:p w14:paraId="2E4FE6AF">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16" w:firstLineChars="200"/>
        <w:jc w:val="both"/>
        <w:textAlignment w:val="baseline"/>
        <w:rPr>
          <w:rFonts w:hint="eastAsia" w:ascii="Times New Roman" w:hAnsi="Times New Roman" w:eastAsia="仿宋" w:cs="宋体"/>
          <w:b w:val="0"/>
          <w:bCs w:val="0"/>
          <w:spacing w:val="-6"/>
          <w:sz w:val="32"/>
          <w:szCs w:val="32"/>
          <w:highlight w:val="none"/>
          <w:lang w:eastAsia="zh-CN"/>
        </w:rPr>
      </w:pPr>
      <w:r>
        <w:rPr>
          <w:rFonts w:hint="eastAsia" w:ascii="Times New Roman" w:hAnsi="Times New Roman" w:eastAsia="仿宋" w:cs="宋体"/>
          <w:b w:val="0"/>
          <w:bCs w:val="0"/>
          <w:spacing w:val="-6"/>
          <w:sz w:val="32"/>
          <w:szCs w:val="32"/>
          <w:highlight w:val="none"/>
          <w:lang w:eastAsia="zh-CN"/>
        </w:rPr>
        <w:t>病媒生物防制是公共卫生领域的重要工作，校园食堂鼠类防制也极为重要，在维护环境卫生，保障学生就餐环境卫生方面发挥着关键作用。</w:t>
      </w:r>
    </w:p>
    <w:p w14:paraId="37BACD02">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56" w:firstLineChars="200"/>
        <w:jc w:val="both"/>
        <w:textAlignment w:val="baseline"/>
        <w:outlineLvl w:val="2"/>
        <w:rPr>
          <w:rFonts w:hint="eastAsia" w:ascii="Times New Roman" w:hAnsi="Times New Roman" w:eastAsia="仿宋" w:cs="宋体"/>
          <w:b w:val="0"/>
          <w:bCs w:val="0"/>
          <w:spacing w:val="4"/>
          <w:sz w:val="32"/>
          <w:szCs w:val="32"/>
          <w:highlight w:val="none"/>
        </w:rPr>
      </w:pPr>
      <w:bookmarkStart w:id="30" w:name="bookmark27"/>
      <w:bookmarkEnd w:id="30"/>
      <w:bookmarkStart w:id="31" w:name="_Toc1872806070"/>
      <w:r>
        <w:rPr>
          <w:rFonts w:hint="eastAsia" w:ascii="Times New Roman" w:hAnsi="Times New Roman" w:eastAsia="仿宋" w:cs="宋体"/>
          <w:b w:val="0"/>
          <w:bCs w:val="0"/>
          <w:spacing w:val="4"/>
          <w:sz w:val="32"/>
          <w:szCs w:val="32"/>
          <w:highlight w:val="none"/>
        </w:rPr>
        <w:t>2.系统发展现状</w:t>
      </w:r>
      <w:bookmarkEnd w:id="31"/>
    </w:p>
    <w:p w14:paraId="322B5FAC">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56" w:firstLineChars="200"/>
        <w:jc w:val="both"/>
        <w:textAlignment w:val="baseline"/>
        <w:rPr>
          <w:rFonts w:hint="eastAsia" w:ascii="Times New Roman" w:hAnsi="Times New Roman" w:eastAsia="仿宋" w:cs="宋体"/>
          <w:b w:val="0"/>
          <w:bCs w:val="0"/>
          <w:spacing w:val="4"/>
          <w:sz w:val="32"/>
          <w:szCs w:val="32"/>
          <w:highlight w:val="none"/>
          <w:lang w:eastAsia="zh-CN"/>
        </w:rPr>
      </w:pPr>
      <w:r>
        <w:rPr>
          <w:rFonts w:hint="eastAsia" w:ascii="Times New Roman" w:hAnsi="Times New Roman" w:eastAsia="仿宋" w:cs="宋体"/>
          <w:b w:val="0"/>
          <w:bCs w:val="0"/>
          <w:spacing w:val="4"/>
          <w:sz w:val="32"/>
          <w:szCs w:val="32"/>
          <w:highlight w:val="none"/>
          <w:lang w:eastAsia="zh-CN"/>
        </w:rPr>
        <w:t>防制需求</w:t>
      </w:r>
      <w:r>
        <w:rPr>
          <w:rFonts w:hint="eastAsia" w:ascii="Times New Roman" w:hAnsi="Times New Roman" w:eastAsia="仿宋" w:cs="宋体"/>
          <w:b w:val="0"/>
          <w:bCs w:val="0"/>
          <w:spacing w:val="4"/>
          <w:sz w:val="32"/>
          <w:szCs w:val="32"/>
          <w:highlight w:val="none"/>
        </w:rPr>
        <w:t>持续增长</w:t>
      </w:r>
      <w:r>
        <w:rPr>
          <w:rFonts w:hint="eastAsia" w:ascii="Times New Roman" w:hAnsi="Times New Roman" w:eastAsia="仿宋" w:cs="宋体"/>
          <w:b w:val="0"/>
          <w:bCs w:val="0"/>
          <w:spacing w:val="4"/>
          <w:sz w:val="32"/>
          <w:szCs w:val="32"/>
          <w:highlight w:val="none"/>
          <w:lang w:eastAsia="zh-CN"/>
        </w:rPr>
        <w:t>。</w:t>
      </w:r>
      <w:r>
        <w:rPr>
          <w:rFonts w:hint="eastAsia" w:ascii="Times New Roman" w:hAnsi="Times New Roman" w:eastAsia="仿宋" w:cs="宋体"/>
          <w:b w:val="0"/>
          <w:bCs w:val="0"/>
          <w:spacing w:val="4"/>
          <w:sz w:val="32"/>
          <w:szCs w:val="32"/>
          <w:highlight w:val="none"/>
        </w:rPr>
        <w:t>在食堂这一人员密集且对卫生要求极高的场所，鼠类的孳生不仅影响就餐环境，还可能对人群健康构成威胁</w:t>
      </w:r>
      <w:r>
        <w:rPr>
          <w:rFonts w:hint="eastAsia" w:ascii="Times New Roman" w:hAnsi="Times New Roman" w:eastAsia="仿宋" w:cs="宋体"/>
          <w:b w:val="0"/>
          <w:bCs w:val="0"/>
          <w:spacing w:val="4"/>
          <w:sz w:val="32"/>
          <w:szCs w:val="32"/>
          <w:highlight w:val="none"/>
          <w:lang w:eastAsia="zh-CN"/>
        </w:rPr>
        <w:t>，随着公众卫生意识的提升使得人们对居住、工作环境的卫生质量要求越来越高，对鼠类危害的认知也愈发深刻，这进一步激发了对鼠的防制需求。</w:t>
      </w:r>
    </w:p>
    <w:p w14:paraId="49C94A40">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56" w:firstLineChars="200"/>
        <w:jc w:val="both"/>
        <w:textAlignment w:val="baseline"/>
        <w:rPr>
          <w:rFonts w:hint="eastAsia" w:ascii="Times New Roman" w:hAnsi="Times New Roman" w:eastAsia="仿宋" w:cs="宋体"/>
          <w:b w:val="0"/>
          <w:bCs w:val="0"/>
          <w:spacing w:val="4"/>
          <w:sz w:val="32"/>
          <w:szCs w:val="32"/>
          <w:highlight w:val="none"/>
          <w:lang w:eastAsia="zh-CN"/>
        </w:rPr>
      </w:pPr>
      <w:r>
        <w:rPr>
          <w:rFonts w:hint="eastAsia" w:ascii="Times New Roman" w:hAnsi="Times New Roman" w:eastAsia="仿宋" w:cs="宋体"/>
          <w:b w:val="0"/>
          <w:bCs w:val="0"/>
          <w:spacing w:val="4"/>
          <w:sz w:val="32"/>
          <w:szCs w:val="32"/>
          <w:highlight w:val="none"/>
          <w:lang w:eastAsia="zh-CN"/>
        </w:rPr>
        <w:t>安全性高。通过防制方案的实施，能有效减少鼠害的发生，保护学生就餐安全，且消杀方法对操作实施人员有安全保障。</w:t>
      </w:r>
    </w:p>
    <w:p w14:paraId="1AA3D55C">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56" w:firstLineChars="200"/>
        <w:jc w:val="both"/>
        <w:textAlignment w:val="baseline"/>
        <w:rPr>
          <w:rFonts w:hint="eastAsia" w:ascii="Times New Roman" w:hAnsi="Times New Roman" w:eastAsia="仿宋" w:cs="宋体"/>
          <w:b w:val="0"/>
          <w:bCs w:val="0"/>
          <w:spacing w:val="4"/>
          <w:sz w:val="32"/>
          <w:szCs w:val="32"/>
          <w:highlight w:val="none"/>
          <w:lang w:eastAsia="zh-CN"/>
        </w:rPr>
      </w:pPr>
      <w:r>
        <w:rPr>
          <w:rFonts w:hint="eastAsia" w:ascii="Times New Roman" w:hAnsi="Times New Roman" w:eastAsia="仿宋" w:cs="宋体"/>
          <w:b w:val="0"/>
          <w:bCs w:val="0"/>
          <w:spacing w:val="4"/>
          <w:sz w:val="32"/>
          <w:szCs w:val="32"/>
          <w:highlight w:val="none"/>
          <w:lang w:eastAsia="zh-CN"/>
        </w:rPr>
        <w:t>鼠类防制技术规范的推广与应用，将更好的阻断疾病潜在传播途径，减少公共空间污染，降低群体性健康问题风险，预防公共卫生事件发生。</w:t>
      </w:r>
    </w:p>
    <w:p w14:paraId="1B8D178E">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588" w:firstLineChars="200"/>
        <w:jc w:val="both"/>
        <w:textAlignment w:val="baseline"/>
        <w:outlineLvl w:val="1"/>
        <w:rPr>
          <w:rFonts w:hint="eastAsia" w:ascii="楷体" w:hAnsi="楷体" w:eastAsia="楷体" w:cs="楷体"/>
          <w:b w:val="0"/>
          <w:bCs w:val="0"/>
          <w:spacing w:val="-13"/>
          <w:sz w:val="32"/>
          <w:szCs w:val="32"/>
          <w:highlight w:val="none"/>
          <w:lang w:val="en-US" w:eastAsia="zh-CN"/>
        </w:rPr>
      </w:pPr>
      <w:bookmarkStart w:id="32" w:name="_Toc1613563317"/>
      <w:r>
        <w:rPr>
          <w:rFonts w:hint="eastAsia" w:ascii="楷体" w:hAnsi="楷体" w:eastAsia="楷体" w:cs="楷体"/>
          <w:b w:val="0"/>
          <w:bCs w:val="0"/>
          <w:spacing w:val="-13"/>
          <w:sz w:val="32"/>
          <w:szCs w:val="32"/>
          <w:highlight w:val="none"/>
          <w:lang w:val="en-US" w:eastAsia="zh-CN"/>
        </w:rPr>
        <w:t>（二）本标准参考的文献</w:t>
      </w:r>
      <w:bookmarkEnd w:id="32"/>
    </w:p>
    <w:p w14:paraId="4F1EEACA">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56" w:firstLineChars="200"/>
        <w:jc w:val="both"/>
        <w:textAlignment w:val="baseline"/>
        <w:rPr>
          <w:rFonts w:hint="eastAsia" w:ascii="Times New Roman" w:hAnsi="Times New Roman" w:eastAsia="仿宋" w:cs="宋体"/>
          <w:b w:val="0"/>
          <w:bCs w:val="0"/>
          <w:spacing w:val="4"/>
          <w:sz w:val="32"/>
          <w:szCs w:val="32"/>
          <w:highlight w:val="none"/>
          <w:lang w:val="en-US" w:eastAsia="zh-CN"/>
        </w:rPr>
      </w:pPr>
      <w:r>
        <w:rPr>
          <w:rFonts w:hint="eastAsia" w:ascii="Times New Roman" w:hAnsi="Times New Roman" w:eastAsia="仿宋" w:cs="宋体"/>
          <w:b w:val="0"/>
          <w:bCs w:val="0"/>
          <w:spacing w:val="4"/>
          <w:sz w:val="32"/>
          <w:szCs w:val="32"/>
          <w:highlight w:val="none"/>
          <w:lang w:val="en-US" w:eastAsia="zh-CN"/>
        </w:rPr>
        <w:t>1.《病媒生物预防控制管理规定》全爱卫发〔2009〕9号</w:t>
      </w:r>
    </w:p>
    <w:p w14:paraId="7FE5CAA9">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56" w:firstLineChars="200"/>
        <w:jc w:val="both"/>
        <w:textAlignment w:val="baseline"/>
        <w:rPr>
          <w:rFonts w:hint="eastAsia" w:ascii="Times New Roman" w:hAnsi="Times New Roman" w:eastAsia="仿宋" w:cs="宋体"/>
          <w:b w:val="0"/>
          <w:bCs w:val="0"/>
          <w:spacing w:val="4"/>
          <w:sz w:val="32"/>
          <w:szCs w:val="32"/>
          <w:highlight w:val="none"/>
          <w:lang w:val="en-US" w:eastAsia="zh-CN"/>
        </w:rPr>
      </w:pPr>
      <w:r>
        <w:rPr>
          <w:rFonts w:hint="eastAsia" w:ascii="Times New Roman" w:hAnsi="Times New Roman" w:eastAsia="仿宋" w:cs="宋体"/>
          <w:b w:val="0"/>
          <w:bCs w:val="0"/>
          <w:spacing w:val="4"/>
          <w:sz w:val="32"/>
          <w:szCs w:val="32"/>
          <w:highlight w:val="none"/>
          <w:lang w:val="en-US" w:eastAsia="zh-CN"/>
        </w:rPr>
        <w:t>2.《中国疾病预防控制中心关于印发全国病媒生物监测实施方案的通知》（中疾控传防发〔2016〕56号）</w:t>
      </w:r>
    </w:p>
    <w:p w14:paraId="0ECE7591">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56" w:firstLineChars="200"/>
        <w:jc w:val="both"/>
        <w:textAlignment w:val="baseline"/>
        <w:rPr>
          <w:rFonts w:hint="eastAsia" w:ascii="Times New Roman" w:hAnsi="Times New Roman" w:eastAsia="仿宋" w:cs="宋体"/>
          <w:b w:val="0"/>
          <w:bCs w:val="0"/>
          <w:spacing w:val="4"/>
          <w:sz w:val="32"/>
          <w:szCs w:val="32"/>
          <w:highlight w:val="none"/>
          <w:lang w:val="en-US" w:eastAsia="zh-CN"/>
        </w:rPr>
      </w:pPr>
      <w:r>
        <w:rPr>
          <w:rFonts w:hint="eastAsia" w:ascii="Times New Roman" w:hAnsi="Times New Roman" w:eastAsia="仿宋" w:cs="宋体"/>
          <w:b w:val="0"/>
          <w:bCs w:val="0"/>
          <w:spacing w:val="4"/>
          <w:sz w:val="32"/>
          <w:szCs w:val="32"/>
          <w:highlight w:val="none"/>
          <w:lang w:val="en-US" w:eastAsia="zh-CN"/>
        </w:rPr>
        <w:t>3.《辽宁省病媒生物监测方案》（辽爱卫办〔2023〕9号）</w:t>
      </w:r>
    </w:p>
    <w:p w14:paraId="256102A9">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28" w:firstLineChars="200"/>
        <w:jc w:val="both"/>
        <w:textAlignment w:val="baseline"/>
        <w:outlineLvl w:val="1"/>
        <w:rPr>
          <w:sz w:val="32"/>
          <w:szCs w:val="32"/>
          <w:highlight w:val="none"/>
        </w:rPr>
      </w:pPr>
      <w:bookmarkStart w:id="33" w:name="_Toc115000233"/>
      <w:r>
        <w:rPr>
          <w:rFonts w:hint="eastAsia" w:ascii="楷体" w:hAnsi="楷体" w:eastAsia="楷体" w:cs="楷体"/>
          <w:b w:val="0"/>
          <w:bCs w:val="0"/>
          <w:spacing w:val="-3"/>
          <w:sz w:val="32"/>
          <w:szCs w:val="32"/>
          <w:highlight w:val="none"/>
        </w:rPr>
        <w:t>（三）社会效益</w:t>
      </w:r>
      <w:bookmarkEnd w:id="33"/>
    </w:p>
    <w:p w14:paraId="5027FD30">
      <w:pPr>
        <w:pStyle w:val="3"/>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7" w:firstLineChars="200"/>
        <w:jc w:val="both"/>
        <w:textAlignment w:val="baseline"/>
        <w:rPr>
          <w:rFonts w:hint="eastAsia" w:ascii="Times New Roman" w:hAnsi="Times New Roman" w:eastAsia="仿宋" w:cs="仿宋"/>
          <w:b w:val="0"/>
          <w:bCs w:val="0"/>
          <w:spacing w:val="-4"/>
          <w:sz w:val="32"/>
          <w:szCs w:val="32"/>
        </w:rPr>
      </w:pPr>
      <w:r>
        <w:rPr>
          <w:rFonts w:hint="eastAsia" w:ascii="Times New Roman" w:hAnsi="Times New Roman" w:eastAsia="仿宋" w:cs="仿宋"/>
          <w:b/>
          <w:bCs/>
          <w:spacing w:val="-4"/>
          <w:sz w:val="32"/>
          <w:szCs w:val="32"/>
        </w:rPr>
        <w:t>1.提供科学的防制方法：</w:t>
      </w:r>
      <w:r>
        <w:rPr>
          <w:rFonts w:hint="eastAsia" w:ascii="Times New Roman" w:hAnsi="Times New Roman" w:eastAsia="仿宋" w:cs="仿宋"/>
          <w:b w:val="0"/>
          <w:bCs w:val="0"/>
          <w:spacing w:val="-4"/>
          <w:sz w:val="32"/>
          <w:szCs w:val="32"/>
        </w:rPr>
        <w:t>该规范可以为</w:t>
      </w:r>
      <w:r>
        <w:rPr>
          <w:rFonts w:hint="eastAsia" w:ascii="Times New Roman" w:hAnsi="Times New Roman" w:eastAsia="仿宋" w:cs="仿宋"/>
          <w:b w:val="0"/>
          <w:bCs w:val="0"/>
          <w:spacing w:val="-4"/>
          <w:sz w:val="32"/>
          <w:szCs w:val="32"/>
          <w:lang w:eastAsia="zh-CN"/>
        </w:rPr>
        <w:t>校园食堂鼠类</w:t>
      </w:r>
      <w:r>
        <w:rPr>
          <w:rFonts w:hint="eastAsia" w:ascii="Times New Roman" w:hAnsi="Times New Roman" w:eastAsia="仿宋" w:cs="仿宋"/>
          <w:b w:val="0"/>
          <w:bCs w:val="0"/>
          <w:spacing w:val="-4"/>
          <w:sz w:val="32"/>
          <w:szCs w:val="32"/>
        </w:rPr>
        <w:t>防制提供科学、系统的方法和技术，指导相关人员采取有效的措施来控制</w:t>
      </w:r>
      <w:r>
        <w:rPr>
          <w:rFonts w:hint="eastAsia" w:ascii="Times New Roman" w:hAnsi="Times New Roman" w:eastAsia="仿宋" w:cs="仿宋"/>
          <w:b w:val="0"/>
          <w:bCs w:val="0"/>
          <w:spacing w:val="-4"/>
          <w:sz w:val="32"/>
          <w:szCs w:val="32"/>
          <w:lang w:eastAsia="zh-CN"/>
        </w:rPr>
        <w:t>鼠类活动</w:t>
      </w:r>
      <w:r>
        <w:rPr>
          <w:rFonts w:hint="eastAsia" w:ascii="Times New Roman" w:hAnsi="Times New Roman" w:eastAsia="仿宋" w:cs="仿宋"/>
          <w:b w:val="0"/>
          <w:bCs w:val="0"/>
          <w:spacing w:val="-4"/>
          <w:sz w:val="32"/>
          <w:szCs w:val="32"/>
        </w:rPr>
        <w:t>。</w:t>
      </w:r>
    </w:p>
    <w:p w14:paraId="4589B1CB">
      <w:pPr>
        <w:pStyle w:val="3"/>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7" w:firstLineChars="200"/>
        <w:jc w:val="both"/>
        <w:textAlignment w:val="baseline"/>
        <w:rPr>
          <w:rFonts w:hint="eastAsia" w:ascii="Times New Roman" w:hAnsi="Times New Roman" w:eastAsia="仿宋" w:cs="仿宋"/>
          <w:b w:val="0"/>
          <w:bCs w:val="0"/>
          <w:spacing w:val="-4"/>
          <w:sz w:val="32"/>
          <w:szCs w:val="32"/>
        </w:rPr>
      </w:pPr>
      <w:r>
        <w:rPr>
          <w:rFonts w:hint="eastAsia" w:ascii="Times New Roman" w:hAnsi="Times New Roman" w:eastAsia="仿宋" w:cs="仿宋"/>
          <w:b/>
          <w:bCs/>
          <w:spacing w:val="-4"/>
          <w:sz w:val="32"/>
          <w:szCs w:val="32"/>
        </w:rPr>
        <w:t>2.保障公众健康</w:t>
      </w:r>
      <w:r>
        <w:rPr>
          <w:rFonts w:hint="eastAsia" w:ascii="Times New Roman" w:hAnsi="Times New Roman" w:eastAsia="仿宋" w:cs="仿宋"/>
          <w:b/>
          <w:bCs/>
          <w:spacing w:val="-4"/>
          <w:sz w:val="32"/>
          <w:szCs w:val="32"/>
          <w:lang w:eastAsia="zh-CN"/>
        </w:rPr>
        <w:t>：</w:t>
      </w:r>
      <w:r>
        <w:rPr>
          <w:rFonts w:hint="eastAsia" w:ascii="Times New Roman" w:hAnsi="Times New Roman" w:eastAsia="仿宋" w:cs="仿宋"/>
          <w:b w:val="0"/>
          <w:bCs w:val="0"/>
          <w:spacing w:val="-4"/>
          <w:sz w:val="32"/>
          <w:szCs w:val="32"/>
          <w:lang w:eastAsia="zh-CN"/>
        </w:rPr>
        <w:t>鼠</w:t>
      </w:r>
      <w:r>
        <w:rPr>
          <w:rFonts w:hint="eastAsia" w:ascii="Times New Roman" w:hAnsi="Times New Roman" w:eastAsia="仿宋" w:cs="宋体"/>
          <w:b w:val="0"/>
          <w:bCs w:val="0"/>
          <w:spacing w:val="4"/>
          <w:sz w:val="32"/>
          <w:szCs w:val="32"/>
          <w:highlight w:val="none"/>
          <w:lang w:eastAsia="zh-CN"/>
        </w:rPr>
        <w:t>类</w:t>
      </w:r>
      <w:r>
        <w:rPr>
          <w:rFonts w:hint="eastAsia" w:ascii="Times New Roman" w:hAnsi="Times New Roman" w:eastAsia="仿宋" w:cs="仿宋"/>
          <w:b w:val="0"/>
          <w:bCs w:val="0"/>
          <w:spacing w:val="-4"/>
          <w:sz w:val="32"/>
          <w:szCs w:val="32"/>
        </w:rPr>
        <w:t>可以传播疾病，给</w:t>
      </w:r>
      <w:r>
        <w:rPr>
          <w:rFonts w:hint="eastAsia" w:ascii="Times New Roman" w:hAnsi="Times New Roman" w:eastAsia="仿宋" w:cs="仿宋"/>
          <w:b w:val="0"/>
          <w:bCs w:val="0"/>
          <w:spacing w:val="-4"/>
          <w:sz w:val="32"/>
          <w:szCs w:val="32"/>
          <w:lang w:eastAsia="zh-CN"/>
        </w:rPr>
        <w:t>学生</w:t>
      </w:r>
      <w:r>
        <w:rPr>
          <w:rFonts w:hint="eastAsia" w:ascii="Times New Roman" w:hAnsi="Times New Roman" w:eastAsia="仿宋" w:cs="仿宋"/>
          <w:b w:val="0"/>
          <w:bCs w:val="0"/>
          <w:spacing w:val="-4"/>
          <w:sz w:val="32"/>
          <w:szCs w:val="32"/>
        </w:rPr>
        <w:t>的健康带来威胁。通过实施该规范，可以降低</w:t>
      </w:r>
      <w:r>
        <w:rPr>
          <w:rFonts w:hint="eastAsia" w:ascii="Times New Roman" w:hAnsi="Times New Roman" w:eastAsia="仿宋" w:cs="仿宋"/>
          <w:b w:val="0"/>
          <w:bCs w:val="0"/>
          <w:spacing w:val="-4"/>
          <w:sz w:val="32"/>
          <w:szCs w:val="32"/>
          <w:lang w:eastAsia="zh-CN"/>
        </w:rPr>
        <w:t>鼠</w:t>
      </w:r>
      <w:r>
        <w:rPr>
          <w:rFonts w:hint="eastAsia" w:ascii="Times New Roman" w:hAnsi="Times New Roman" w:eastAsia="仿宋" w:cs="宋体"/>
          <w:b w:val="0"/>
          <w:bCs w:val="0"/>
          <w:spacing w:val="4"/>
          <w:sz w:val="32"/>
          <w:szCs w:val="32"/>
          <w:highlight w:val="none"/>
          <w:lang w:eastAsia="zh-CN"/>
        </w:rPr>
        <w:t>类</w:t>
      </w:r>
      <w:r>
        <w:rPr>
          <w:rFonts w:hint="eastAsia" w:ascii="Times New Roman" w:hAnsi="Times New Roman" w:eastAsia="仿宋" w:cs="仿宋"/>
          <w:b w:val="0"/>
          <w:bCs w:val="0"/>
          <w:spacing w:val="-4"/>
          <w:sz w:val="32"/>
          <w:szCs w:val="32"/>
        </w:rPr>
        <w:t>对</w:t>
      </w:r>
      <w:r>
        <w:rPr>
          <w:rFonts w:hint="eastAsia" w:ascii="Times New Roman" w:hAnsi="Times New Roman" w:eastAsia="仿宋" w:cs="仿宋"/>
          <w:b w:val="0"/>
          <w:bCs w:val="0"/>
          <w:spacing w:val="-4"/>
          <w:sz w:val="32"/>
          <w:szCs w:val="32"/>
          <w:lang w:eastAsia="zh-CN"/>
        </w:rPr>
        <w:t>学生</w:t>
      </w:r>
      <w:r>
        <w:rPr>
          <w:rFonts w:hint="eastAsia" w:ascii="Times New Roman" w:hAnsi="Times New Roman" w:eastAsia="仿宋" w:cs="仿宋"/>
          <w:b w:val="0"/>
          <w:bCs w:val="0"/>
          <w:spacing w:val="-4"/>
          <w:sz w:val="32"/>
          <w:szCs w:val="32"/>
        </w:rPr>
        <w:t>健康的危害，减少疾病传播的风险。</w:t>
      </w:r>
    </w:p>
    <w:p w14:paraId="62DD3C29">
      <w:pPr>
        <w:pStyle w:val="3"/>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7" w:firstLineChars="200"/>
        <w:jc w:val="both"/>
        <w:textAlignment w:val="baseline"/>
        <w:rPr>
          <w:rFonts w:hint="eastAsia" w:ascii="Times New Roman" w:hAnsi="Times New Roman" w:eastAsia="仿宋" w:cs="仿宋"/>
          <w:b w:val="0"/>
          <w:bCs w:val="0"/>
          <w:spacing w:val="-4"/>
          <w:sz w:val="32"/>
          <w:szCs w:val="32"/>
        </w:rPr>
      </w:pPr>
      <w:r>
        <w:rPr>
          <w:rFonts w:hint="eastAsia" w:ascii="Times New Roman" w:hAnsi="Times New Roman" w:eastAsia="仿宋" w:cs="仿宋"/>
          <w:b/>
          <w:bCs/>
          <w:spacing w:val="-4"/>
          <w:sz w:val="32"/>
          <w:szCs w:val="32"/>
        </w:rPr>
        <w:t>3.提高环境卫生水平：</w:t>
      </w:r>
      <w:r>
        <w:rPr>
          <w:rFonts w:hint="eastAsia" w:ascii="Times New Roman" w:hAnsi="Times New Roman" w:eastAsia="仿宋" w:cs="仿宋"/>
          <w:b w:val="0"/>
          <w:bCs w:val="0"/>
          <w:spacing w:val="-4"/>
          <w:sz w:val="32"/>
          <w:szCs w:val="32"/>
          <w:lang w:eastAsia="zh-CN"/>
        </w:rPr>
        <w:t>鼠</w:t>
      </w:r>
      <w:r>
        <w:rPr>
          <w:rFonts w:hint="eastAsia" w:ascii="Times New Roman" w:hAnsi="Times New Roman" w:eastAsia="仿宋" w:cs="宋体"/>
          <w:b w:val="0"/>
          <w:bCs w:val="0"/>
          <w:spacing w:val="4"/>
          <w:sz w:val="32"/>
          <w:szCs w:val="32"/>
          <w:highlight w:val="none"/>
          <w:lang w:eastAsia="zh-CN"/>
        </w:rPr>
        <w:t>类</w:t>
      </w:r>
      <w:r>
        <w:rPr>
          <w:rFonts w:hint="eastAsia" w:ascii="Times New Roman" w:hAnsi="Times New Roman" w:eastAsia="仿宋" w:cs="仿宋"/>
          <w:b w:val="0"/>
          <w:bCs w:val="0"/>
          <w:spacing w:val="-4"/>
          <w:sz w:val="32"/>
          <w:szCs w:val="32"/>
        </w:rPr>
        <w:t>的存在与环境卫生状况密切相关。该规范的实施可以促进人们加强环境清洁和卫生管理，提高环境卫生水平。</w:t>
      </w:r>
    </w:p>
    <w:p w14:paraId="355B2664">
      <w:pPr>
        <w:pStyle w:val="3"/>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7" w:firstLineChars="200"/>
        <w:jc w:val="both"/>
        <w:textAlignment w:val="baseline"/>
        <w:rPr>
          <w:rFonts w:hint="eastAsia" w:ascii="Times New Roman" w:hAnsi="Times New Roman" w:eastAsia="仿宋" w:cs="仿宋"/>
          <w:b w:val="0"/>
          <w:bCs w:val="0"/>
          <w:spacing w:val="-4"/>
          <w:sz w:val="32"/>
          <w:szCs w:val="32"/>
        </w:rPr>
      </w:pPr>
      <w:r>
        <w:rPr>
          <w:rFonts w:hint="eastAsia" w:ascii="Times New Roman" w:hAnsi="Times New Roman" w:eastAsia="仿宋" w:cs="仿宋"/>
          <w:b/>
          <w:bCs/>
          <w:spacing w:val="-4"/>
          <w:sz w:val="32"/>
          <w:szCs w:val="32"/>
        </w:rPr>
        <w:t>4.保护财产和设施：</w:t>
      </w:r>
      <w:r>
        <w:rPr>
          <w:rFonts w:hint="eastAsia" w:ascii="Times New Roman" w:hAnsi="Times New Roman" w:eastAsia="仿宋" w:cs="仿宋"/>
          <w:b w:val="0"/>
          <w:bCs w:val="0"/>
          <w:spacing w:val="-4"/>
          <w:sz w:val="32"/>
          <w:szCs w:val="32"/>
        </w:rPr>
        <w:t>鼠</w:t>
      </w:r>
      <w:r>
        <w:rPr>
          <w:rFonts w:hint="eastAsia" w:ascii="Times New Roman" w:hAnsi="Times New Roman" w:eastAsia="仿宋" w:cs="宋体"/>
          <w:b w:val="0"/>
          <w:bCs w:val="0"/>
          <w:spacing w:val="4"/>
          <w:sz w:val="32"/>
          <w:szCs w:val="32"/>
          <w:highlight w:val="none"/>
          <w:lang w:eastAsia="zh-CN"/>
        </w:rPr>
        <w:t>类</w:t>
      </w:r>
      <w:r>
        <w:rPr>
          <w:rFonts w:hint="eastAsia" w:ascii="Times New Roman" w:hAnsi="Times New Roman" w:eastAsia="仿宋" w:cs="仿宋"/>
          <w:b w:val="0"/>
          <w:bCs w:val="0"/>
          <w:spacing w:val="-4"/>
          <w:sz w:val="32"/>
          <w:szCs w:val="32"/>
        </w:rPr>
        <w:t>会咬坏电线、管道等，可能引发安全隐患，如线路短路起火、管道漏水等。通过采取规范的防制措施，减少</w:t>
      </w:r>
      <w:r>
        <w:rPr>
          <w:rFonts w:hint="eastAsia" w:ascii="Times New Roman" w:hAnsi="Times New Roman" w:eastAsia="仿宋" w:cs="仿宋"/>
          <w:b w:val="0"/>
          <w:bCs w:val="0"/>
          <w:spacing w:val="-4"/>
          <w:sz w:val="32"/>
          <w:szCs w:val="32"/>
          <w:lang w:eastAsia="zh-CN"/>
        </w:rPr>
        <w:t>鼠</w:t>
      </w:r>
      <w:r>
        <w:rPr>
          <w:rFonts w:hint="eastAsia" w:ascii="Times New Roman" w:hAnsi="Times New Roman" w:eastAsia="仿宋" w:cs="宋体"/>
          <w:b w:val="0"/>
          <w:bCs w:val="0"/>
          <w:spacing w:val="4"/>
          <w:sz w:val="32"/>
          <w:szCs w:val="32"/>
          <w:highlight w:val="none"/>
          <w:lang w:eastAsia="zh-CN"/>
        </w:rPr>
        <w:t>类</w:t>
      </w:r>
      <w:r>
        <w:rPr>
          <w:rFonts w:hint="eastAsia" w:ascii="Times New Roman" w:hAnsi="Times New Roman" w:eastAsia="仿宋" w:cs="仿宋"/>
          <w:b w:val="0"/>
          <w:bCs w:val="0"/>
          <w:spacing w:val="-4"/>
          <w:sz w:val="32"/>
          <w:szCs w:val="32"/>
        </w:rPr>
        <w:t>对财产和设施的损害，延长其使用寿命。</w:t>
      </w:r>
    </w:p>
    <w:p w14:paraId="736298BD">
      <w:pPr>
        <w:pStyle w:val="3"/>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7" w:firstLineChars="200"/>
        <w:jc w:val="both"/>
        <w:textAlignment w:val="baseline"/>
        <w:rPr>
          <w:rFonts w:hint="eastAsia" w:ascii="Times New Roman" w:hAnsi="Times New Roman" w:eastAsia="仿宋" w:cs="仿宋"/>
          <w:b w:val="0"/>
          <w:bCs w:val="0"/>
          <w:sz w:val="32"/>
          <w:szCs w:val="32"/>
        </w:rPr>
      </w:pPr>
      <w:r>
        <w:rPr>
          <w:rFonts w:hint="eastAsia" w:ascii="Times New Roman" w:hAnsi="Times New Roman" w:eastAsia="仿宋" w:cs="仿宋"/>
          <w:b/>
          <w:bCs/>
          <w:spacing w:val="-4"/>
          <w:sz w:val="32"/>
          <w:szCs w:val="32"/>
        </w:rPr>
        <w:t>5.增强社会意识：</w:t>
      </w:r>
      <w:r>
        <w:rPr>
          <w:rFonts w:hint="eastAsia" w:ascii="Times New Roman" w:hAnsi="Times New Roman" w:eastAsia="仿宋" w:cs="仿宋"/>
          <w:b w:val="0"/>
          <w:bCs w:val="0"/>
          <w:spacing w:val="-4"/>
          <w:sz w:val="32"/>
          <w:szCs w:val="32"/>
        </w:rPr>
        <w:t>通过推广和实施该规范，可以增强</w:t>
      </w:r>
      <w:r>
        <w:rPr>
          <w:rFonts w:hint="eastAsia" w:ascii="Times New Roman" w:hAnsi="Times New Roman" w:eastAsia="仿宋" w:cs="仿宋"/>
          <w:b w:val="0"/>
          <w:bCs w:val="0"/>
          <w:spacing w:val="-4"/>
          <w:sz w:val="32"/>
          <w:szCs w:val="32"/>
          <w:lang w:eastAsia="zh-CN"/>
        </w:rPr>
        <w:t>学校等有关部门</w:t>
      </w:r>
      <w:r>
        <w:rPr>
          <w:rFonts w:hint="eastAsia" w:ascii="Times New Roman" w:hAnsi="Times New Roman" w:eastAsia="仿宋" w:cs="仿宋"/>
          <w:b w:val="0"/>
          <w:bCs w:val="0"/>
          <w:spacing w:val="-4"/>
          <w:sz w:val="32"/>
          <w:szCs w:val="32"/>
        </w:rPr>
        <w:t>对</w:t>
      </w:r>
      <w:r>
        <w:rPr>
          <w:rFonts w:hint="eastAsia" w:ascii="Times New Roman" w:hAnsi="Times New Roman" w:eastAsia="仿宋" w:cs="仿宋"/>
          <w:b w:val="0"/>
          <w:bCs w:val="0"/>
          <w:spacing w:val="-4"/>
          <w:sz w:val="32"/>
          <w:szCs w:val="32"/>
          <w:lang w:eastAsia="zh-CN"/>
        </w:rPr>
        <w:t>校园食堂</w:t>
      </w:r>
      <w:r>
        <w:rPr>
          <w:rFonts w:hint="eastAsia" w:ascii="Times New Roman" w:hAnsi="Times New Roman" w:eastAsia="仿宋" w:cs="仿宋"/>
          <w:b w:val="0"/>
          <w:bCs w:val="0"/>
          <w:spacing w:val="-4"/>
          <w:sz w:val="32"/>
          <w:szCs w:val="32"/>
        </w:rPr>
        <w:t>问题的认识和重视，提高公众的</w:t>
      </w:r>
      <w:r>
        <w:rPr>
          <w:rFonts w:hint="eastAsia" w:ascii="Times New Roman" w:hAnsi="Times New Roman" w:eastAsia="仿宋" w:cs="仿宋"/>
          <w:b w:val="0"/>
          <w:bCs w:val="0"/>
          <w:spacing w:val="-4"/>
          <w:sz w:val="32"/>
          <w:szCs w:val="32"/>
          <w:lang w:eastAsia="zh-CN"/>
        </w:rPr>
        <w:t>防制</w:t>
      </w:r>
      <w:r>
        <w:rPr>
          <w:rFonts w:hint="eastAsia" w:ascii="Times New Roman" w:hAnsi="Times New Roman" w:eastAsia="仿宋" w:cs="仿宋"/>
          <w:b w:val="0"/>
          <w:bCs w:val="0"/>
          <w:spacing w:val="-4"/>
          <w:sz w:val="32"/>
          <w:szCs w:val="32"/>
        </w:rPr>
        <w:t>意识，促进社会参与</w:t>
      </w:r>
      <w:r>
        <w:rPr>
          <w:rFonts w:hint="eastAsia" w:ascii="Times New Roman" w:hAnsi="Times New Roman" w:eastAsia="仿宋" w:cs="仿宋"/>
          <w:b w:val="0"/>
          <w:bCs w:val="0"/>
          <w:spacing w:val="-4"/>
          <w:sz w:val="32"/>
          <w:szCs w:val="32"/>
          <w:lang w:eastAsia="zh-CN"/>
        </w:rPr>
        <w:t>鼠</w:t>
      </w:r>
      <w:r>
        <w:rPr>
          <w:rFonts w:hint="eastAsia" w:ascii="Times New Roman" w:hAnsi="Times New Roman" w:eastAsia="仿宋" w:cs="宋体"/>
          <w:b w:val="0"/>
          <w:bCs w:val="0"/>
          <w:spacing w:val="4"/>
          <w:sz w:val="32"/>
          <w:szCs w:val="32"/>
          <w:highlight w:val="none"/>
          <w:lang w:eastAsia="zh-CN"/>
        </w:rPr>
        <w:t>类</w:t>
      </w:r>
      <w:r>
        <w:rPr>
          <w:rFonts w:hint="eastAsia" w:ascii="Times New Roman" w:hAnsi="Times New Roman" w:eastAsia="仿宋" w:cs="仿宋"/>
          <w:b w:val="0"/>
          <w:bCs w:val="0"/>
          <w:spacing w:val="-4"/>
          <w:sz w:val="32"/>
          <w:szCs w:val="32"/>
          <w:lang w:eastAsia="zh-CN"/>
        </w:rPr>
        <w:t>的</w:t>
      </w:r>
      <w:r>
        <w:rPr>
          <w:rFonts w:hint="eastAsia" w:ascii="Times New Roman" w:hAnsi="Times New Roman" w:eastAsia="仿宋" w:cs="仿宋"/>
          <w:b w:val="0"/>
          <w:bCs w:val="0"/>
          <w:spacing w:val="-4"/>
          <w:sz w:val="32"/>
          <w:szCs w:val="32"/>
        </w:rPr>
        <w:t>防制工作。</w:t>
      </w:r>
    </w:p>
    <w:p w14:paraId="34F7C89B">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60" w:firstLineChars="200"/>
        <w:jc w:val="both"/>
        <w:textAlignment w:val="baseline"/>
        <w:outlineLvl w:val="0"/>
        <w:rPr>
          <w:b w:val="0"/>
          <w:bCs w:val="0"/>
          <w:sz w:val="32"/>
          <w:szCs w:val="32"/>
          <w:highlight w:val="none"/>
        </w:rPr>
      </w:pPr>
      <w:bookmarkStart w:id="34" w:name="_Toc1507367815"/>
      <w:r>
        <w:rPr>
          <w:rFonts w:hint="eastAsia" w:ascii="黑体" w:hAnsi="黑体" w:eastAsia="黑体" w:cs="黑体"/>
          <w:b w:val="0"/>
          <w:bCs w:val="0"/>
          <w:spacing w:val="5"/>
          <w:sz w:val="32"/>
          <w:szCs w:val="32"/>
          <w:highlight w:val="none"/>
        </w:rPr>
        <w:t>四、与有关的现行法律、法规和国家标准、行业标准、地方标准</w:t>
      </w:r>
      <w:bookmarkStart w:id="35" w:name="bookmark15"/>
      <w:bookmarkEnd w:id="35"/>
      <w:r>
        <w:rPr>
          <w:rFonts w:hint="eastAsia" w:ascii="黑体" w:hAnsi="黑体" w:eastAsia="黑体" w:cs="黑体"/>
          <w:b w:val="0"/>
          <w:bCs w:val="0"/>
          <w:spacing w:val="-3"/>
          <w:sz w:val="32"/>
          <w:szCs w:val="32"/>
          <w:highlight w:val="none"/>
        </w:rPr>
        <w:t>的关系</w:t>
      </w:r>
      <w:bookmarkEnd w:id="34"/>
    </w:p>
    <w:p w14:paraId="66A8C2A2">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4" w:firstLineChars="200"/>
        <w:jc w:val="both"/>
        <w:textAlignment w:val="baseline"/>
        <w:rPr>
          <w:sz w:val="32"/>
          <w:szCs w:val="32"/>
        </w:rPr>
      </w:pPr>
      <w:r>
        <w:rPr>
          <w:rFonts w:hint="eastAsia" w:ascii="Times New Roman" w:hAnsi="Times New Roman" w:eastAsia="仿宋" w:cs="仿宋"/>
          <w:b w:val="0"/>
          <w:bCs w:val="0"/>
          <w:snapToGrid w:val="0"/>
          <w:color w:val="000000"/>
          <w:spacing w:val="-4"/>
          <w:kern w:val="0"/>
          <w:sz w:val="32"/>
          <w:szCs w:val="32"/>
          <w:lang w:val="en-US" w:eastAsia="en-US" w:bidi="ar-SA"/>
        </w:rPr>
        <w:t>本标准遵循“协调统一、规范适用”的编制原则，与国家现行发法律</w:t>
      </w:r>
      <w:r>
        <w:rPr>
          <w:rFonts w:hint="eastAsia" w:ascii="Times New Roman" w:hAnsi="Times New Roman" w:eastAsia="仿宋" w:cs="仿宋"/>
          <w:b w:val="0"/>
          <w:bCs w:val="0"/>
          <w:snapToGrid w:val="0"/>
          <w:color w:val="000000"/>
          <w:spacing w:val="-4"/>
          <w:kern w:val="0"/>
          <w:sz w:val="32"/>
          <w:szCs w:val="32"/>
          <w:lang w:val="en-US" w:eastAsia="zh-CN" w:bidi="ar-SA"/>
        </w:rPr>
        <w:t>、</w:t>
      </w:r>
      <w:r>
        <w:rPr>
          <w:rFonts w:hint="eastAsia" w:ascii="Times New Roman" w:hAnsi="Times New Roman" w:eastAsia="仿宋" w:cs="仿宋"/>
          <w:b w:val="0"/>
          <w:bCs w:val="0"/>
          <w:snapToGrid w:val="0"/>
          <w:color w:val="000000"/>
          <w:spacing w:val="-4"/>
          <w:kern w:val="0"/>
          <w:sz w:val="32"/>
          <w:szCs w:val="32"/>
          <w:lang w:val="en-US" w:eastAsia="en-US" w:bidi="ar-SA"/>
        </w:rPr>
        <w:t>法规和有关产业政策保持一致，严格按照GB/T 1.1—2020《标准化工作导则 第1部分：标准化文件的结构和起草规则》规定组织编写，本标准为辽宁省首次制定，与本行业现有的其他标准协调配套，没有冲突，技术要求不低于国家标准的相关技术要求。</w:t>
      </w:r>
    </w:p>
    <w:p w14:paraId="74B4CE27">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24" w:firstLineChars="200"/>
        <w:jc w:val="both"/>
        <w:textAlignment w:val="baseline"/>
        <w:outlineLvl w:val="0"/>
        <w:rPr>
          <w:rFonts w:hint="eastAsia" w:ascii="黑体" w:hAnsi="黑体" w:eastAsia="黑体" w:cs="黑体"/>
          <w:b w:val="0"/>
          <w:bCs w:val="0"/>
          <w:sz w:val="32"/>
          <w:szCs w:val="32"/>
          <w:highlight w:val="none"/>
        </w:rPr>
      </w:pPr>
      <w:bookmarkStart w:id="36" w:name="_Toc1160948073"/>
      <w:r>
        <w:rPr>
          <w:rFonts w:hint="eastAsia" w:ascii="黑体" w:hAnsi="黑体" w:eastAsia="黑体" w:cs="黑体"/>
          <w:b w:val="0"/>
          <w:bCs w:val="0"/>
          <w:spacing w:val="-4"/>
          <w:sz w:val="32"/>
          <w:szCs w:val="32"/>
          <w:highlight w:val="none"/>
        </w:rPr>
        <w:t>五、征求意见和分歧处理情况，应说明未采纳意见依据以及同意见提出人</w:t>
      </w:r>
      <w:bookmarkStart w:id="37" w:name="bookmark16"/>
      <w:bookmarkEnd w:id="37"/>
      <w:r>
        <w:rPr>
          <w:rFonts w:hint="eastAsia" w:ascii="黑体" w:hAnsi="黑体" w:eastAsia="黑体" w:cs="黑体"/>
          <w:b w:val="0"/>
          <w:bCs w:val="0"/>
          <w:spacing w:val="-5"/>
          <w:sz w:val="32"/>
          <w:szCs w:val="32"/>
          <w:highlight w:val="none"/>
        </w:rPr>
        <w:t>的沟通反馈情况</w:t>
      </w:r>
      <w:bookmarkEnd w:id="36"/>
    </w:p>
    <w:p w14:paraId="65B74038">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4" w:firstLineChars="200"/>
        <w:jc w:val="both"/>
        <w:textAlignment w:val="baseline"/>
        <w:rPr>
          <w:rFonts w:hint="eastAsia" w:ascii="Times New Roman" w:hAnsi="Times New Roman" w:eastAsia="仿宋" w:cs="仿宋"/>
          <w:b w:val="0"/>
          <w:bCs w:val="0"/>
          <w:snapToGrid w:val="0"/>
          <w:color w:val="000000"/>
          <w:spacing w:val="-4"/>
          <w:kern w:val="0"/>
          <w:sz w:val="32"/>
          <w:szCs w:val="32"/>
          <w:lang w:val="en-US" w:eastAsia="en-US" w:bidi="ar-SA"/>
        </w:rPr>
      </w:pPr>
      <w:r>
        <w:rPr>
          <w:rFonts w:hint="eastAsia" w:ascii="Times New Roman" w:hAnsi="Times New Roman" w:eastAsia="仿宋" w:cs="仿宋"/>
          <w:b w:val="0"/>
          <w:bCs w:val="0"/>
          <w:snapToGrid w:val="0"/>
          <w:color w:val="000000"/>
          <w:spacing w:val="-4"/>
          <w:kern w:val="0"/>
          <w:sz w:val="32"/>
          <w:szCs w:val="32"/>
          <w:highlight w:val="none"/>
          <w:lang w:val="en-US" w:eastAsia="zh-CN" w:bidi="ar-SA"/>
        </w:rPr>
        <w:t>征集</w:t>
      </w:r>
      <w:r>
        <w:rPr>
          <w:rFonts w:hint="eastAsia" w:ascii="Times New Roman" w:hAnsi="Times New Roman" w:eastAsia="仿宋" w:cs="仿宋"/>
          <w:b w:val="0"/>
          <w:bCs w:val="0"/>
          <w:snapToGrid w:val="0"/>
          <w:color w:val="000000"/>
          <w:spacing w:val="-4"/>
          <w:kern w:val="0"/>
          <w:sz w:val="32"/>
          <w:szCs w:val="32"/>
          <w:highlight w:val="none"/>
          <w:lang w:val="en-US" w:eastAsia="en-US" w:bidi="ar-SA"/>
        </w:rPr>
        <w:t>省内外</w:t>
      </w:r>
      <w:r>
        <w:rPr>
          <w:rFonts w:hint="eastAsia" w:ascii="Times New Roman" w:hAnsi="Times New Roman" w:eastAsia="仿宋" w:cs="Times New Roman"/>
          <w:snapToGrid/>
          <w:kern w:val="0"/>
          <w:sz w:val="32"/>
          <w:szCs w:val="32"/>
          <w:highlight w:val="none"/>
          <w:lang w:val="en-US" w:eastAsia="zh-CN"/>
        </w:rPr>
        <w:t>反馈意见59条，其中重复意见16条，经起草组成员反复讨论，2</w:t>
      </w:r>
      <w:r>
        <w:rPr>
          <w:rFonts w:hint="default" w:ascii="Times New Roman" w:hAnsi="Times New Roman" w:eastAsia="仿宋" w:cs="Times New Roman"/>
          <w:snapToGrid/>
          <w:kern w:val="0"/>
          <w:sz w:val="32"/>
          <w:szCs w:val="32"/>
          <w:highlight w:val="none"/>
          <w:lang w:val="en-US" w:eastAsia="zh-CN"/>
        </w:rPr>
        <w:t>4</w:t>
      </w:r>
      <w:r>
        <w:rPr>
          <w:rFonts w:hint="eastAsia" w:ascii="Times New Roman" w:hAnsi="Times New Roman" w:eastAsia="仿宋" w:cs="Times New Roman"/>
          <w:snapToGrid/>
          <w:kern w:val="0"/>
          <w:sz w:val="32"/>
          <w:szCs w:val="32"/>
          <w:highlight w:val="none"/>
          <w:lang w:val="en-US" w:eastAsia="zh-CN"/>
        </w:rPr>
        <w:t>条意见已采纳，</w:t>
      </w:r>
      <w:r>
        <w:rPr>
          <w:rFonts w:hint="default" w:ascii="Times New Roman" w:hAnsi="Times New Roman" w:eastAsia="仿宋" w:cs="Times New Roman"/>
          <w:snapToGrid/>
          <w:kern w:val="0"/>
          <w:sz w:val="32"/>
          <w:szCs w:val="32"/>
          <w:highlight w:val="none"/>
          <w:lang w:val="en-US" w:eastAsia="zh-CN"/>
        </w:rPr>
        <w:t>8</w:t>
      </w:r>
      <w:r>
        <w:rPr>
          <w:rFonts w:hint="eastAsia" w:ascii="Times New Roman" w:hAnsi="Times New Roman" w:eastAsia="仿宋" w:cs="Times New Roman"/>
          <w:snapToGrid/>
          <w:kern w:val="0"/>
          <w:sz w:val="32"/>
          <w:szCs w:val="32"/>
          <w:highlight w:val="none"/>
          <w:lang w:val="en-US" w:eastAsia="zh-CN"/>
        </w:rPr>
        <w:t>条意见部分采纳，2</w:t>
      </w:r>
      <w:r>
        <w:rPr>
          <w:rFonts w:hint="default" w:ascii="Times New Roman" w:hAnsi="Times New Roman" w:eastAsia="仿宋" w:cs="Times New Roman"/>
          <w:snapToGrid/>
          <w:kern w:val="0"/>
          <w:sz w:val="32"/>
          <w:szCs w:val="32"/>
          <w:highlight w:val="none"/>
          <w:lang w:val="en-US" w:eastAsia="zh-CN"/>
        </w:rPr>
        <w:t>7</w:t>
      </w:r>
      <w:r>
        <w:rPr>
          <w:rFonts w:hint="eastAsia" w:ascii="Times New Roman" w:hAnsi="Times New Roman" w:eastAsia="仿宋" w:cs="Times New Roman"/>
          <w:snapToGrid/>
          <w:kern w:val="0"/>
          <w:sz w:val="32"/>
          <w:szCs w:val="32"/>
          <w:highlight w:val="none"/>
          <w:lang w:val="en-US" w:eastAsia="zh-CN"/>
        </w:rPr>
        <w:t>条意见未采纳，</w:t>
      </w:r>
      <w:r>
        <w:rPr>
          <w:rFonts w:hint="eastAsia" w:ascii="Times New Roman" w:hAnsi="Times New Roman" w:eastAsia="仿宋" w:cs="仿宋"/>
          <w:b w:val="0"/>
          <w:bCs w:val="0"/>
          <w:snapToGrid w:val="0"/>
          <w:color w:val="000000"/>
          <w:spacing w:val="-4"/>
          <w:kern w:val="0"/>
          <w:sz w:val="32"/>
          <w:szCs w:val="32"/>
          <w:lang w:val="en-US" w:eastAsia="en-US" w:bidi="ar-SA"/>
        </w:rPr>
        <w:t>并给出了不采纳理由，进一步整理后，形成了标准送审稿。</w:t>
      </w:r>
    </w:p>
    <w:p w14:paraId="6C82B7A9">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4" w:firstLineChars="200"/>
        <w:jc w:val="both"/>
        <w:textAlignment w:val="baseline"/>
        <w:outlineLvl w:val="0"/>
        <w:rPr>
          <w:b w:val="0"/>
          <w:bCs w:val="0"/>
          <w:sz w:val="32"/>
          <w:szCs w:val="32"/>
          <w:highlight w:val="green"/>
        </w:rPr>
      </w:pPr>
      <w:bookmarkStart w:id="38" w:name="_Toc737351900"/>
      <w:r>
        <w:rPr>
          <w:rFonts w:hint="eastAsia" w:ascii="黑体" w:hAnsi="黑体" w:eastAsia="黑体" w:cs="黑体"/>
          <w:b w:val="0"/>
          <w:bCs w:val="0"/>
          <w:spacing w:val="-4"/>
          <w:sz w:val="32"/>
          <w:szCs w:val="32"/>
          <w:highlight w:val="none"/>
        </w:rPr>
        <w:t>六、推动标准实施的措施建议</w:t>
      </w:r>
      <w:bookmarkEnd w:id="38"/>
    </w:p>
    <w:p w14:paraId="08366246">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4" w:firstLineChars="200"/>
        <w:jc w:val="both"/>
        <w:textAlignment w:val="baseline"/>
        <w:rPr>
          <w:rFonts w:hint="eastAsia" w:ascii="Times New Roman" w:hAnsi="Times New Roman" w:eastAsia="仿宋" w:cs="仿宋"/>
          <w:b w:val="0"/>
          <w:bCs w:val="0"/>
          <w:snapToGrid w:val="0"/>
          <w:color w:val="000000"/>
          <w:spacing w:val="-4"/>
          <w:kern w:val="0"/>
          <w:sz w:val="32"/>
          <w:szCs w:val="32"/>
          <w:lang w:val="en-US" w:eastAsia="en-US" w:bidi="ar-SA"/>
        </w:rPr>
      </w:pPr>
      <w:r>
        <w:rPr>
          <w:rFonts w:hint="eastAsia" w:ascii="Times New Roman" w:hAnsi="Times New Roman" w:eastAsia="仿宋" w:cs="仿宋"/>
          <w:b w:val="0"/>
          <w:bCs w:val="0"/>
          <w:snapToGrid w:val="0"/>
          <w:color w:val="000000"/>
          <w:spacing w:val="-4"/>
          <w:kern w:val="0"/>
          <w:sz w:val="32"/>
          <w:szCs w:val="32"/>
          <w:lang w:val="en-US" w:eastAsia="zh-CN" w:bidi="ar-SA"/>
        </w:rPr>
        <w:t>首先应</w:t>
      </w:r>
      <w:r>
        <w:rPr>
          <w:rFonts w:hint="eastAsia" w:ascii="Times New Roman" w:hAnsi="Times New Roman" w:eastAsia="仿宋" w:cs="仿宋"/>
          <w:b w:val="0"/>
          <w:bCs w:val="0"/>
          <w:snapToGrid w:val="0"/>
          <w:color w:val="000000"/>
          <w:spacing w:val="-4"/>
          <w:kern w:val="0"/>
          <w:sz w:val="32"/>
          <w:szCs w:val="32"/>
          <w:lang w:val="en-US" w:eastAsia="en-US" w:bidi="ar-SA"/>
        </w:rPr>
        <w:t>加强宣传培训</w:t>
      </w:r>
      <w:r>
        <w:rPr>
          <w:rFonts w:hint="eastAsia" w:ascii="Times New Roman" w:hAnsi="Times New Roman" w:eastAsia="仿宋" w:cs="仿宋"/>
          <w:b w:val="0"/>
          <w:bCs w:val="0"/>
          <w:snapToGrid w:val="0"/>
          <w:color w:val="000000"/>
          <w:spacing w:val="-4"/>
          <w:kern w:val="0"/>
          <w:sz w:val="32"/>
          <w:szCs w:val="32"/>
          <w:lang w:val="en-US" w:eastAsia="zh-CN" w:bidi="ar-SA"/>
        </w:rPr>
        <w:t>。</w:t>
      </w:r>
      <w:r>
        <w:rPr>
          <w:rFonts w:hint="eastAsia" w:ascii="Times New Roman" w:hAnsi="Times New Roman" w:eastAsia="仿宋" w:cs="仿宋"/>
          <w:b w:val="0"/>
          <w:bCs w:val="0"/>
          <w:snapToGrid w:val="0"/>
          <w:color w:val="000000"/>
          <w:spacing w:val="-4"/>
          <w:kern w:val="0"/>
          <w:sz w:val="32"/>
          <w:szCs w:val="32"/>
          <w:lang w:val="en-US" w:eastAsia="en-US" w:bidi="ar-SA"/>
        </w:rPr>
        <w:t>组织专题培训</w:t>
      </w:r>
      <w:r>
        <w:rPr>
          <w:rFonts w:hint="eastAsia" w:ascii="Times New Roman" w:hAnsi="Times New Roman" w:eastAsia="仿宋" w:cs="仿宋"/>
          <w:b w:val="0"/>
          <w:bCs w:val="0"/>
          <w:snapToGrid w:val="0"/>
          <w:color w:val="000000"/>
          <w:spacing w:val="-4"/>
          <w:kern w:val="0"/>
          <w:sz w:val="32"/>
          <w:szCs w:val="32"/>
          <w:lang w:val="en-US" w:eastAsia="zh-CN" w:bidi="ar-SA"/>
        </w:rPr>
        <w:t>，</w:t>
      </w:r>
      <w:r>
        <w:rPr>
          <w:rFonts w:hint="eastAsia" w:ascii="Times New Roman" w:hAnsi="Times New Roman" w:eastAsia="仿宋" w:cs="仿宋"/>
          <w:b w:val="0"/>
          <w:bCs w:val="0"/>
          <w:snapToGrid w:val="0"/>
          <w:color w:val="000000"/>
          <w:spacing w:val="-4"/>
          <w:kern w:val="0"/>
          <w:sz w:val="32"/>
          <w:szCs w:val="32"/>
          <w:lang w:val="en-US" w:eastAsia="en-US" w:bidi="ar-SA"/>
        </w:rPr>
        <w:t>各级疾病预防控制中心联合开展</w:t>
      </w:r>
      <w:r>
        <w:rPr>
          <w:rFonts w:hint="eastAsia" w:ascii="Times New Roman" w:hAnsi="Times New Roman" w:eastAsia="仿宋" w:cs="仿宋"/>
          <w:b w:val="0"/>
          <w:bCs w:val="0"/>
          <w:snapToGrid w:val="0"/>
          <w:color w:val="000000"/>
          <w:spacing w:val="-4"/>
          <w:kern w:val="0"/>
          <w:sz w:val="32"/>
          <w:szCs w:val="32"/>
          <w:lang w:val="en-US" w:eastAsia="zh-CN" w:bidi="ar-SA"/>
        </w:rPr>
        <w:t>，</w:t>
      </w:r>
      <w:r>
        <w:rPr>
          <w:rFonts w:hint="eastAsia" w:ascii="Times New Roman" w:hAnsi="Times New Roman" w:eastAsia="仿宋" w:cs="仿宋"/>
          <w:b w:val="0"/>
          <w:bCs w:val="0"/>
          <w:snapToGrid w:val="0"/>
          <w:color w:val="000000"/>
          <w:spacing w:val="-4"/>
          <w:kern w:val="0"/>
          <w:sz w:val="32"/>
          <w:szCs w:val="32"/>
          <w:lang w:val="en-US" w:eastAsia="en-US" w:bidi="ar-SA"/>
        </w:rPr>
        <w:t>针对标准内容，分批次、分层次组织校园食堂管理人员开展专题培训</w:t>
      </w:r>
      <w:r>
        <w:rPr>
          <w:rFonts w:hint="eastAsia" w:ascii="Times New Roman" w:hAnsi="Times New Roman" w:eastAsia="仿宋" w:cs="仿宋"/>
          <w:b w:val="0"/>
          <w:bCs w:val="0"/>
          <w:snapToGrid w:val="0"/>
          <w:color w:val="000000"/>
          <w:spacing w:val="-4"/>
          <w:kern w:val="0"/>
          <w:sz w:val="32"/>
          <w:szCs w:val="32"/>
          <w:lang w:val="en-US" w:eastAsia="zh-CN" w:bidi="ar-SA"/>
        </w:rPr>
        <w:t>；</w:t>
      </w:r>
      <w:r>
        <w:rPr>
          <w:rFonts w:hint="eastAsia" w:ascii="Times New Roman" w:hAnsi="Times New Roman" w:eastAsia="仿宋" w:cs="仿宋"/>
          <w:b w:val="0"/>
          <w:bCs w:val="0"/>
          <w:snapToGrid w:val="0"/>
          <w:color w:val="000000"/>
          <w:spacing w:val="-4"/>
          <w:kern w:val="0"/>
          <w:sz w:val="32"/>
          <w:szCs w:val="32"/>
          <w:lang w:val="en-US" w:eastAsia="en-US" w:bidi="ar-SA"/>
        </w:rPr>
        <w:t>开展线上宣传</w:t>
      </w:r>
      <w:r>
        <w:rPr>
          <w:rFonts w:hint="eastAsia" w:ascii="Times New Roman" w:hAnsi="Times New Roman" w:eastAsia="仿宋" w:cs="仿宋"/>
          <w:b w:val="0"/>
          <w:bCs w:val="0"/>
          <w:snapToGrid w:val="0"/>
          <w:color w:val="000000"/>
          <w:spacing w:val="-4"/>
          <w:kern w:val="0"/>
          <w:sz w:val="32"/>
          <w:szCs w:val="32"/>
          <w:lang w:val="en-US" w:eastAsia="zh-CN" w:bidi="ar-SA"/>
        </w:rPr>
        <w:t>，</w:t>
      </w:r>
      <w:r>
        <w:rPr>
          <w:rFonts w:hint="eastAsia" w:ascii="Times New Roman" w:hAnsi="Times New Roman" w:eastAsia="仿宋" w:cs="仿宋"/>
          <w:b w:val="0"/>
          <w:bCs w:val="0"/>
          <w:snapToGrid w:val="0"/>
          <w:color w:val="000000"/>
          <w:spacing w:val="-4"/>
          <w:kern w:val="0"/>
          <w:sz w:val="32"/>
          <w:szCs w:val="32"/>
          <w:lang w:val="en-US" w:eastAsia="en-US" w:bidi="ar-SA"/>
        </w:rPr>
        <w:t>利用疾控中心官网、微信公众号、短视频平台等新媒体渠道和传统媒体等，制作并发布标准解读视频、图文解读资料、常见问题解答等宣传内容，扩大标准知晓度</w:t>
      </w:r>
      <w:r>
        <w:rPr>
          <w:rFonts w:hint="eastAsia" w:ascii="Times New Roman" w:hAnsi="Times New Roman" w:eastAsia="仿宋" w:cs="仿宋"/>
          <w:b w:val="0"/>
          <w:bCs w:val="0"/>
          <w:snapToGrid w:val="0"/>
          <w:color w:val="000000"/>
          <w:spacing w:val="-4"/>
          <w:kern w:val="0"/>
          <w:sz w:val="32"/>
          <w:szCs w:val="32"/>
          <w:lang w:val="en-US" w:eastAsia="zh-CN" w:bidi="ar-SA"/>
        </w:rPr>
        <w:t>；</w:t>
      </w:r>
      <w:r>
        <w:rPr>
          <w:rFonts w:hint="eastAsia" w:ascii="Times New Roman" w:hAnsi="Times New Roman" w:eastAsia="仿宋" w:cs="仿宋"/>
          <w:b w:val="0"/>
          <w:bCs w:val="0"/>
          <w:snapToGrid w:val="0"/>
          <w:color w:val="000000"/>
          <w:spacing w:val="-4"/>
          <w:kern w:val="0"/>
          <w:sz w:val="32"/>
          <w:szCs w:val="32"/>
          <w:lang w:val="en-US" w:eastAsia="en-US" w:bidi="ar-SA"/>
        </w:rPr>
        <w:t>印发宣传资料</w:t>
      </w:r>
      <w:r>
        <w:rPr>
          <w:rFonts w:hint="eastAsia" w:ascii="Times New Roman" w:hAnsi="Times New Roman" w:eastAsia="仿宋" w:cs="仿宋"/>
          <w:b w:val="0"/>
          <w:bCs w:val="0"/>
          <w:snapToGrid w:val="0"/>
          <w:color w:val="000000"/>
          <w:spacing w:val="-4"/>
          <w:kern w:val="0"/>
          <w:sz w:val="32"/>
          <w:szCs w:val="32"/>
          <w:lang w:val="en-US" w:eastAsia="zh-CN" w:bidi="ar-SA"/>
        </w:rPr>
        <w:t>，</w:t>
      </w:r>
      <w:r>
        <w:rPr>
          <w:rFonts w:hint="eastAsia" w:ascii="Times New Roman" w:hAnsi="Times New Roman" w:eastAsia="仿宋" w:cs="仿宋"/>
          <w:b w:val="0"/>
          <w:bCs w:val="0"/>
          <w:snapToGrid w:val="0"/>
          <w:color w:val="000000"/>
          <w:spacing w:val="-4"/>
          <w:kern w:val="0"/>
          <w:sz w:val="32"/>
          <w:szCs w:val="32"/>
          <w:lang w:val="en-US" w:eastAsia="en-US" w:bidi="ar-SA"/>
        </w:rPr>
        <w:t>编制标准宣传手册、海报、折页等纸质宣传资料，免费发放给学校，方便工作人员随时查阅学习，营造良好的标准实施氛围。</w:t>
      </w:r>
    </w:p>
    <w:p w14:paraId="0A348E8A">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4" w:firstLineChars="200"/>
        <w:jc w:val="both"/>
        <w:textAlignment w:val="baseline"/>
        <w:rPr>
          <w:rFonts w:hint="eastAsia" w:ascii="Times New Roman" w:hAnsi="Times New Roman" w:eastAsia="仿宋" w:cs="仿宋"/>
          <w:b w:val="0"/>
          <w:bCs w:val="0"/>
          <w:snapToGrid w:val="0"/>
          <w:color w:val="000000"/>
          <w:spacing w:val="-4"/>
          <w:kern w:val="0"/>
          <w:sz w:val="32"/>
          <w:szCs w:val="32"/>
          <w:lang w:val="en-US" w:eastAsia="en-US" w:bidi="ar-SA"/>
        </w:rPr>
      </w:pPr>
      <w:r>
        <w:rPr>
          <w:rFonts w:hint="eastAsia" w:ascii="Times New Roman" w:hAnsi="Times New Roman" w:eastAsia="仿宋" w:cs="仿宋"/>
          <w:b w:val="0"/>
          <w:bCs w:val="0"/>
          <w:snapToGrid w:val="0"/>
          <w:color w:val="000000"/>
          <w:spacing w:val="-4"/>
          <w:kern w:val="0"/>
          <w:sz w:val="32"/>
          <w:szCs w:val="32"/>
          <w:lang w:val="en-US" w:eastAsia="zh-CN" w:bidi="ar-SA"/>
        </w:rPr>
        <w:t>其次应</w:t>
      </w:r>
      <w:r>
        <w:rPr>
          <w:rFonts w:hint="eastAsia" w:ascii="Times New Roman" w:hAnsi="Times New Roman" w:eastAsia="仿宋" w:cs="仿宋"/>
          <w:b w:val="0"/>
          <w:bCs w:val="0"/>
          <w:snapToGrid w:val="0"/>
          <w:color w:val="000000"/>
          <w:spacing w:val="-4"/>
          <w:kern w:val="0"/>
          <w:sz w:val="32"/>
          <w:szCs w:val="32"/>
          <w:lang w:val="en-US" w:eastAsia="en-US" w:bidi="ar-SA"/>
        </w:rPr>
        <w:t>强化技术指导</w:t>
      </w:r>
      <w:r>
        <w:rPr>
          <w:rFonts w:hint="eastAsia" w:ascii="Times New Roman" w:hAnsi="Times New Roman" w:eastAsia="仿宋" w:cs="仿宋"/>
          <w:b w:val="0"/>
          <w:bCs w:val="0"/>
          <w:snapToGrid w:val="0"/>
          <w:color w:val="000000"/>
          <w:spacing w:val="-4"/>
          <w:kern w:val="0"/>
          <w:sz w:val="32"/>
          <w:szCs w:val="32"/>
          <w:lang w:val="en-US" w:eastAsia="zh-CN" w:bidi="ar-SA"/>
        </w:rPr>
        <w:t>。</w:t>
      </w:r>
      <w:r>
        <w:rPr>
          <w:rFonts w:hint="eastAsia" w:ascii="Times New Roman" w:hAnsi="Times New Roman" w:eastAsia="仿宋" w:cs="仿宋"/>
          <w:b w:val="0"/>
          <w:bCs w:val="0"/>
          <w:snapToGrid w:val="0"/>
          <w:color w:val="000000"/>
          <w:spacing w:val="-4"/>
          <w:kern w:val="0"/>
          <w:sz w:val="32"/>
          <w:szCs w:val="32"/>
          <w:lang w:val="en-US" w:eastAsia="en-US" w:bidi="ar-SA"/>
        </w:rPr>
        <w:t>建立专家团队</w:t>
      </w:r>
      <w:r>
        <w:rPr>
          <w:rFonts w:hint="eastAsia" w:ascii="Times New Roman" w:hAnsi="Times New Roman" w:eastAsia="仿宋" w:cs="仿宋"/>
          <w:b w:val="0"/>
          <w:bCs w:val="0"/>
          <w:snapToGrid w:val="0"/>
          <w:color w:val="000000"/>
          <w:spacing w:val="-4"/>
          <w:kern w:val="0"/>
          <w:sz w:val="32"/>
          <w:szCs w:val="32"/>
          <w:lang w:val="en-US" w:eastAsia="zh-CN" w:bidi="ar-SA"/>
        </w:rPr>
        <w:t>，</w:t>
      </w:r>
      <w:r>
        <w:rPr>
          <w:rFonts w:hint="eastAsia" w:ascii="Times New Roman" w:hAnsi="Times New Roman" w:eastAsia="仿宋" w:cs="仿宋"/>
          <w:b w:val="0"/>
          <w:bCs w:val="0"/>
          <w:snapToGrid w:val="0"/>
          <w:color w:val="000000"/>
          <w:spacing w:val="-4"/>
          <w:kern w:val="0"/>
          <w:sz w:val="32"/>
          <w:szCs w:val="32"/>
          <w:lang w:val="en-US" w:eastAsia="en-US" w:bidi="ar-SA"/>
        </w:rPr>
        <w:t>组建由疾控专业人员组成的专家团队，为校园食堂提供专业的技术指导服务。定期深入校园食堂，实地查看鼠类防制现状，针对发现的问题，提出针对性的整改建议</w:t>
      </w:r>
      <w:r>
        <w:rPr>
          <w:rFonts w:hint="eastAsia" w:ascii="Times New Roman" w:hAnsi="Times New Roman" w:eastAsia="仿宋" w:cs="仿宋"/>
          <w:b w:val="0"/>
          <w:bCs w:val="0"/>
          <w:snapToGrid w:val="0"/>
          <w:color w:val="000000"/>
          <w:spacing w:val="-4"/>
          <w:kern w:val="0"/>
          <w:sz w:val="32"/>
          <w:szCs w:val="32"/>
          <w:lang w:val="en-US" w:eastAsia="zh-CN" w:bidi="ar-SA"/>
        </w:rPr>
        <w:t>；</w:t>
      </w:r>
      <w:r>
        <w:rPr>
          <w:rFonts w:hint="eastAsia" w:ascii="Times New Roman" w:hAnsi="Times New Roman" w:eastAsia="仿宋" w:cs="仿宋"/>
          <w:b w:val="0"/>
          <w:bCs w:val="0"/>
          <w:snapToGrid w:val="0"/>
          <w:color w:val="000000"/>
          <w:spacing w:val="-4"/>
          <w:kern w:val="0"/>
          <w:sz w:val="32"/>
          <w:szCs w:val="32"/>
          <w:lang w:val="en-US" w:eastAsia="en-US" w:bidi="ar-SA"/>
        </w:rPr>
        <w:t>开展现场示范</w:t>
      </w:r>
      <w:r>
        <w:rPr>
          <w:rFonts w:hint="eastAsia" w:ascii="Times New Roman" w:hAnsi="Times New Roman" w:eastAsia="仿宋" w:cs="仿宋"/>
          <w:b w:val="0"/>
          <w:bCs w:val="0"/>
          <w:snapToGrid w:val="0"/>
          <w:color w:val="000000"/>
          <w:spacing w:val="-4"/>
          <w:kern w:val="0"/>
          <w:sz w:val="32"/>
          <w:szCs w:val="32"/>
          <w:lang w:val="en-US" w:eastAsia="zh-CN" w:bidi="ar-SA"/>
        </w:rPr>
        <w:t>，</w:t>
      </w:r>
      <w:r>
        <w:rPr>
          <w:rFonts w:hint="eastAsia" w:ascii="Times New Roman" w:hAnsi="Times New Roman" w:eastAsia="仿宋" w:cs="仿宋"/>
          <w:b w:val="0"/>
          <w:bCs w:val="0"/>
          <w:snapToGrid w:val="0"/>
          <w:color w:val="000000"/>
          <w:spacing w:val="-4"/>
          <w:kern w:val="0"/>
          <w:sz w:val="32"/>
          <w:szCs w:val="32"/>
          <w:lang w:val="en-US" w:eastAsia="en-US" w:bidi="ar-SA"/>
        </w:rPr>
        <w:t>选取部分校园食堂作为示范点，组织专业技术人员进行现场示范教学。通过实地演示鼠类侵害调查操作流程、鼠类杀灭方法等，提升操作规范性。同时，鼓励示范点与其他学校开展交流活动，分享经验做法，带动整体水平提升。</w:t>
      </w:r>
    </w:p>
    <w:p w14:paraId="2DF611E5">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4" w:firstLineChars="200"/>
        <w:jc w:val="both"/>
        <w:textAlignment w:val="baseline"/>
        <w:rPr>
          <w:rFonts w:hint="eastAsia" w:ascii="宋体" w:hAnsi="宋体" w:eastAsia="宋体" w:cs="宋体"/>
          <w:b/>
          <w:bCs/>
          <w:spacing w:val="-3"/>
          <w:sz w:val="32"/>
          <w:szCs w:val="32"/>
          <w:lang w:eastAsia="zh-CN"/>
        </w:rPr>
      </w:pPr>
      <w:r>
        <w:rPr>
          <w:rFonts w:hint="eastAsia" w:ascii="Times New Roman" w:hAnsi="Times New Roman" w:eastAsia="仿宋" w:cs="仿宋"/>
          <w:b w:val="0"/>
          <w:bCs w:val="0"/>
          <w:snapToGrid w:val="0"/>
          <w:color w:val="000000"/>
          <w:spacing w:val="-4"/>
          <w:kern w:val="0"/>
          <w:sz w:val="32"/>
          <w:szCs w:val="32"/>
          <w:lang w:val="en-US" w:eastAsia="zh-CN" w:bidi="ar-SA"/>
        </w:rPr>
        <w:t>最后应定期开展效果评估，建立快速反馈机制，评估结果及时反馈给相关责任主体，针对评估中发现的问题，要求责任主体限期整改，并跟踪整改情况。</w:t>
      </w:r>
    </w:p>
    <w:p w14:paraId="184CC803">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32" w:firstLineChars="200"/>
        <w:jc w:val="both"/>
        <w:textAlignment w:val="baseline"/>
        <w:outlineLvl w:val="0"/>
        <w:rPr>
          <w:b w:val="0"/>
          <w:bCs w:val="0"/>
          <w:sz w:val="32"/>
          <w:szCs w:val="32"/>
          <w:highlight w:val="none"/>
        </w:rPr>
      </w:pPr>
      <w:bookmarkStart w:id="39" w:name="_Toc1001524724"/>
      <w:r>
        <w:rPr>
          <w:rFonts w:hint="eastAsia" w:ascii="黑体" w:hAnsi="黑体" w:eastAsia="黑体" w:cs="黑体"/>
          <w:b w:val="0"/>
          <w:bCs w:val="0"/>
          <w:spacing w:val="-2"/>
          <w:sz w:val="32"/>
          <w:szCs w:val="32"/>
          <w:highlight w:val="none"/>
        </w:rPr>
        <w:t>七、拟作为强制性地方标准的须写明明确的法律法规依据</w:t>
      </w:r>
      <w:bookmarkEnd w:id="39"/>
    </w:p>
    <w:p w14:paraId="0134FC84">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4" w:firstLineChars="200"/>
        <w:jc w:val="both"/>
        <w:textAlignment w:val="baseline"/>
        <w:rPr>
          <w:sz w:val="32"/>
          <w:szCs w:val="32"/>
        </w:rPr>
      </w:pPr>
      <w:r>
        <w:rPr>
          <w:rFonts w:hint="eastAsia" w:ascii="Times New Roman" w:hAnsi="Times New Roman" w:eastAsia="仿宋" w:cs="仿宋"/>
          <w:b w:val="0"/>
          <w:bCs w:val="0"/>
          <w:snapToGrid w:val="0"/>
          <w:color w:val="000000"/>
          <w:spacing w:val="-4"/>
          <w:kern w:val="0"/>
          <w:sz w:val="32"/>
          <w:szCs w:val="32"/>
          <w:lang w:val="en-US" w:eastAsia="en-US" w:bidi="ar-SA"/>
        </w:rPr>
        <w:t>无。</w:t>
      </w:r>
    </w:p>
    <w:p w14:paraId="61D61CD7">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32" w:firstLineChars="200"/>
        <w:jc w:val="both"/>
        <w:textAlignment w:val="baseline"/>
        <w:outlineLvl w:val="0"/>
        <w:rPr>
          <w:b w:val="0"/>
          <w:bCs w:val="0"/>
          <w:sz w:val="32"/>
          <w:szCs w:val="32"/>
          <w:highlight w:val="none"/>
        </w:rPr>
      </w:pPr>
      <w:bookmarkStart w:id="40" w:name="_Toc1879205101"/>
      <w:r>
        <w:rPr>
          <w:rFonts w:hint="eastAsia" w:ascii="黑体" w:hAnsi="黑体" w:eastAsia="黑体" w:cs="黑体"/>
          <w:b w:val="0"/>
          <w:bCs w:val="0"/>
          <w:spacing w:val="-2"/>
          <w:sz w:val="32"/>
          <w:szCs w:val="32"/>
          <w:highlight w:val="none"/>
        </w:rPr>
        <w:t>八、其他应说明的事项</w:t>
      </w:r>
      <w:bookmarkEnd w:id="40"/>
    </w:p>
    <w:p w14:paraId="2B615BBF">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24" w:firstLineChars="200"/>
        <w:jc w:val="both"/>
        <w:textAlignment w:val="baseline"/>
        <w:rPr>
          <w:rFonts w:ascii="Times New Roman" w:hAnsi="Times New Roman" w:eastAsia="宋体" w:cs="宋体"/>
          <w:sz w:val="32"/>
          <w:szCs w:val="32"/>
        </w:rPr>
      </w:pPr>
      <w:r>
        <w:rPr>
          <w:rFonts w:hint="eastAsia" w:ascii="Times New Roman" w:hAnsi="Times New Roman" w:eastAsia="仿宋" w:cs="仿宋"/>
          <w:b w:val="0"/>
          <w:bCs w:val="0"/>
          <w:snapToGrid w:val="0"/>
          <w:color w:val="000000"/>
          <w:spacing w:val="-4"/>
          <w:kern w:val="0"/>
          <w:sz w:val="32"/>
          <w:szCs w:val="32"/>
          <w:lang w:val="en-US" w:eastAsia="en-US" w:bidi="ar-SA"/>
        </w:rPr>
        <w:t>无。</w:t>
      </w:r>
    </w:p>
    <w:sectPr>
      <w:footerReference r:id="rId5" w:type="default"/>
      <w:pgSz w:w="11907" w:h="16839"/>
      <w:pgMar w:top="1440" w:right="1803" w:bottom="1440" w:left="1803" w:header="0" w:footer="967" w:gutter="0"/>
      <w:pgNumType w:fmt="decimal"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GWZT-EN"/>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GWZT-EN"/>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altName w:val="仿宋_GB2312"/>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GWZT-EN">
    <w:panose1 w:val="020204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B8A43">
    <w:pPr>
      <w:spacing w:line="229" w:lineRule="auto"/>
      <w:rPr>
        <w:rFonts w:hint="eastAsia" w:ascii="仿宋" w:hAnsi="仿宋" w:eastAsia="仿宋" w:cs="仿宋"/>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8CCCF6">
                          <w:pPr>
                            <w:pStyle w:val="4"/>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w:t>
                          </w:r>
                          <w:r>
                            <w:rPr>
                              <w:rFonts w:hint="eastAsia" w:ascii="仿宋" w:hAnsi="仿宋" w:eastAsia="仿宋" w:cs="仿宋"/>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348CCCF6">
                    <w:pPr>
                      <w:pStyle w:val="4"/>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w:t>
                    </w:r>
                    <w:r>
                      <w:rPr>
                        <w:rFonts w:hint="eastAsia" w:ascii="仿宋" w:hAnsi="仿宋" w:eastAsia="仿宋" w:cs="仿宋"/>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10"/>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6"/>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15"/>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2693" w:firstLine="0"/>
      </w:pPr>
      <w:rPr>
        <w:rFonts w:hint="eastAsia" w:ascii="黑体" w:hAnsi="Times New Roman" w:eastAsia="黑体"/>
        <w:b w:val="0"/>
        <w:i w:val="0"/>
        <w:sz w:val="21"/>
      </w:rPr>
    </w:lvl>
    <w:lvl w:ilvl="4" w:tentative="0">
      <w:start w:val="1"/>
      <w:numFmt w:val="decimal"/>
      <w:suff w:val="nothing"/>
      <w:lvlText w:val="%1.%2.%3.%4.%5　"/>
      <w:lvlJc w:val="left"/>
      <w:pPr>
        <w:ind w:left="851"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TrueTypeFonts/>
  <w:saveSubsetFonts/>
  <w:bordersDoNotSurroundHeader w:val="0"/>
  <w:bordersDoNotSurroundFooter w:val="0"/>
  <w:trackRevisions w:val="1"/>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04786FBC"/>
    <w:rsid w:val="0A7FDFA4"/>
    <w:rsid w:val="17F3A368"/>
    <w:rsid w:val="1FDF062F"/>
    <w:rsid w:val="24F8064D"/>
    <w:rsid w:val="2D33525F"/>
    <w:rsid w:val="3555D4C2"/>
    <w:rsid w:val="36BD2CA8"/>
    <w:rsid w:val="39E97CB3"/>
    <w:rsid w:val="3B96DC72"/>
    <w:rsid w:val="3D9EE821"/>
    <w:rsid w:val="3DF51143"/>
    <w:rsid w:val="3EFF7F5A"/>
    <w:rsid w:val="3FDF1A8F"/>
    <w:rsid w:val="3FEDBFFB"/>
    <w:rsid w:val="3FFDD6B5"/>
    <w:rsid w:val="3FFF780C"/>
    <w:rsid w:val="46BFCB2F"/>
    <w:rsid w:val="46D66D18"/>
    <w:rsid w:val="4B7C717F"/>
    <w:rsid w:val="4BFCCBD4"/>
    <w:rsid w:val="4CBEF000"/>
    <w:rsid w:val="4DFE5F77"/>
    <w:rsid w:val="4FF69800"/>
    <w:rsid w:val="53F71EBD"/>
    <w:rsid w:val="54DFD2B1"/>
    <w:rsid w:val="55D71A6C"/>
    <w:rsid w:val="56FF4E6F"/>
    <w:rsid w:val="57868371"/>
    <w:rsid w:val="5811760C"/>
    <w:rsid w:val="5BE20B3A"/>
    <w:rsid w:val="5BED92E0"/>
    <w:rsid w:val="5D7A7CBD"/>
    <w:rsid w:val="5DEFCD52"/>
    <w:rsid w:val="5F9B2E9F"/>
    <w:rsid w:val="5FEE215A"/>
    <w:rsid w:val="5FFDC4C4"/>
    <w:rsid w:val="67E7281E"/>
    <w:rsid w:val="67FFD994"/>
    <w:rsid w:val="6AEFBD98"/>
    <w:rsid w:val="6B5AE61F"/>
    <w:rsid w:val="6D5B54C1"/>
    <w:rsid w:val="6E5FDAF9"/>
    <w:rsid w:val="6EE41A53"/>
    <w:rsid w:val="6F6DE54D"/>
    <w:rsid w:val="6F8B8D06"/>
    <w:rsid w:val="6FBD90CC"/>
    <w:rsid w:val="6FD35EB2"/>
    <w:rsid w:val="765F7BE1"/>
    <w:rsid w:val="77EA3587"/>
    <w:rsid w:val="7BFB9AFE"/>
    <w:rsid w:val="7BFDCD02"/>
    <w:rsid w:val="7CDFE155"/>
    <w:rsid w:val="7CEB7637"/>
    <w:rsid w:val="7CFF359B"/>
    <w:rsid w:val="7D3F2E95"/>
    <w:rsid w:val="7D572A82"/>
    <w:rsid w:val="7D5F9153"/>
    <w:rsid w:val="7DBB179D"/>
    <w:rsid w:val="7DE38E1E"/>
    <w:rsid w:val="7DF7BF28"/>
    <w:rsid w:val="7E57687C"/>
    <w:rsid w:val="7E623599"/>
    <w:rsid w:val="7E9BC25A"/>
    <w:rsid w:val="7ECF3ED4"/>
    <w:rsid w:val="7FBBB866"/>
    <w:rsid w:val="7FBFC0AC"/>
    <w:rsid w:val="7FD8215F"/>
    <w:rsid w:val="7FDF3618"/>
    <w:rsid w:val="7FFEAA7C"/>
    <w:rsid w:val="877C6562"/>
    <w:rsid w:val="8E996653"/>
    <w:rsid w:val="93FB527F"/>
    <w:rsid w:val="9EBACBCE"/>
    <w:rsid w:val="9F7B6DA0"/>
    <w:rsid w:val="A57FFF6E"/>
    <w:rsid w:val="A9D62EA2"/>
    <w:rsid w:val="ABEA8709"/>
    <w:rsid w:val="AD71D8AE"/>
    <w:rsid w:val="B2BF3878"/>
    <w:rsid w:val="B5EFC711"/>
    <w:rsid w:val="B77F54DC"/>
    <w:rsid w:val="BE5BDAB7"/>
    <w:rsid w:val="BEF2257D"/>
    <w:rsid w:val="BEF78AC5"/>
    <w:rsid w:val="BF6F7964"/>
    <w:rsid w:val="BFDCC6A0"/>
    <w:rsid w:val="BFFF44F0"/>
    <w:rsid w:val="C6E88E26"/>
    <w:rsid w:val="C77D2DEA"/>
    <w:rsid w:val="C77F7E55"/>
    <w:rsid w:val="D3F9A488"/>
    <w:rsid w:val="D71DFAC3"/>
    <w:rsid w:val="DBDFE181"/>
    <w:rsid w:val="DC27609D"/>
    <w:rsid w:val="DD7F9054"/>
    <w:rsid w:val="DEFBEB26"/>
    <w:rsid w:val="DF6B2B65"/>
    <w:rsid w:val="DFB70072"/>
    <w:rsid w:val="E1F09BC0"/>
    <w:rsid w:val="E36F06B6"/>
    <w:rsid w:val="E4F502BF"/>
    <w:rsid w:val="E5FB4B44"/>
    <w:rsid w:val="E66B20C7"/>
    <w:rsid w:val="E77FBB84"/>
    <w:rsid w:val="E7F9AAB7"/>
    <w:rsid w:val="E9BB553D"/>
    <w:rsid w:val="EBA3AEF4"/>
    <w:rsid w:val="EBBFDC7C"/>
    <w:rsid w:val="EBFFBFBB"/>
    <w:rsid w:val="ECF155A2"/>
    <w:rsid w:val="EF2F0B82"/>
    <w:rsid w:val="F1BDD3F7"/>
    <w:rsid w:val="F3AF13F1"/>
    <w:rsid w:val="F3EE4989"/>
    <w:rsid w:val="F575AE49"/>
    <w:rsid w:val="F5FF75B2"/>
    <w:rsid w:val="F7B7F457"/>
    <w:rsid w:val="F7FF7A7C"/>
    <w:rsid w:val="FBFC6352"/>
    <w:rsid w:val="FBFCBDC3"/>
    <w:rsid w:val="FCCFA02B"/>
    <w:rsid w:val="FCDBD06A"/>
    <w:rsid w:val="FDBEBC77"/>
    <w:rsid w:val="FDF9EC03"/>
    <w:rsid w:val="FEF48C87"/>
    <w:rsid w:val="FF1A89DD"/>
    <w:rsid w:val="FF2DAABD"/>
    <w:rsid w:val="FF7F766D"/>
    <w:rsid w:val="FFB73A7C"/>
    <w:rsid w:val="FFBD24A3"/>
    <w:rsid w:val="FFD7CFEF"/>
    <w:rsid w:val="FFDF4958"/>
    <w:rsid w:val="FFDF7988"/>
    <w:rsid w:val="FFEFDFE7"/>
    <w:rsid w:val="FFFFCF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宋体" w:hAnsi="宋体" w:eastAsia="宋体" w:cs="宋体"/>
      <w:sz w:val="20"/>
      <w:szCs w:val="20"/>
      <w:lang w:val="en-US" w:eastAsia="en-US" w:bidi="ar-SA"/>
    </w:rPr>
  </w:style>
  <w:style w:type="paragraph" w:customStyle="1" w:styleId="10">
    <w:name w:val="章标题"/>
    <w:next w:val="11"/>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11">
    <w:name w:val="段"/>
    <w:qFormat/>
    <w:uiPriority w:val="0"/>
    <w:pPr>
      <w:tabs>
        <w:tab w:val="center" w:pos="4201"/>
        <w:tab w:val="right" w:leader="dot" w:pos="9298"/>
      </w:tabs>
      <w:autoSpaceDE w:val="0"/>
      <w:autoSpaceDN w:val="0"/>
      <w:ind w:firstLine="420" w:firstLineChars="200"/>
      <w:jc w:val="both"/>
      <w:pPrChange w:id="0" w:author="宗印 崔" w:date="2024-03-13T14:43:00Z">
        <w:pPr>
          <w:autoSpaceDE w:val="0"/>
          <w:autoSpaceDN w:val="0"/>
          <w:ind w:firstLine="420" w:firstLineChars="200"/>
          <w:jc w:val="both"/>
        </w:pPr>
      </w:pPrChange>
    </w:pPr>
    <w:rPr>
      <w:rFonts w:ascii="宋体" w:hAnsi="Times New Roman" w:eastAsia="宋体" w:cs="Times New Roman"/>
      <w:sz w:val="21"/>
      <w:lang w:val="en-US" w:eastAsia="zh-CN" w:bidi="ar-SA"/>
      <w:rPrChange w:id="1" w:author="宗印 崔" w:date="2024-03-13T14:43:00Z">
        <w:rPr>
          <w:rFonts w:ascii="宋体" w:eastAsia="宋体"/>
          <w:sz w:val="21"/>
          <w:lang w:val="en-US" w:eastAsia="zh-CN" w:bidi="ar-SA"/>
        </w:rPr>
      </w:rPrChange>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3"/>
    <w:qFormat/>
    <w:uiPriority w:val="0"/>
    <w:pPr>
      <w:ind w:leftChars="400"/>
    </w:pPr>
    <w:rPr>
      <w:rFonts w:ascii="Times New Roman" w:hAnsi="Times New Roman" w:eastAsia="宋体" w:cs="Times New Roman"/>
      <w:sz w:val="20"/>
      <w:szCs w:val="20"/>
    </w:rPr>
  </w:style>
  <w:style w:type="paragraph" w:customStyle="1" w:styleId="15">
    <w:name w:val="二级条标题"/>
    <w:basedOn w:val="16"/>
    <w:next w:val="11"/>
    <w:autoRedefine/>
    <w:qFormat/>
    <w:uiPriority w:val="0"/>
    <w:pPr>
      <w:numPr>
        <w:ilvl w:val="2"/>
      </w:numPr>
      <w:spacing w:before="50" w:after="50"/>
      <w:outlineLvl w:val="3"/>
    </w:pPr>
  </w:style>
  <w:style w:type="paragraph" w:customStyle="1" w:styleId="16">
    <w:name w:val="一级条标题"/>
    <w:next w:val="11"/>
    <w:autoRedefine/>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5016</Words>
  <Characters>5285</Characters>
  <TotalTime>0</TotalTime>
  <ScaleCrop>false</ScaleCrop>
  <LinksUpToDate>false</LinksUpToDate>
  <CharactersWithSpaces>5432</CharactersWithSpaces>
  <Application>WPS Office_12.8.2.19550_F1E327BC-269C-435d-A152-05C5408002CA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2024-07-16T10:04:00Z</dcterms:created>
  <dc:creator>83</dc:creator>
  <cp:lastModifiedBy>王禹霏</cp:lastModifiedBy>
  <dcterms:modified xsi:type="dcterms:W3CDTF">2025-05-19T09:06:26Z</dcterms:modified>
  <dc:title>2-_x0016_6ô_x000E__x0008__x0001_¡?	.docx</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2025-04-30T09:24:50Z</vt:filetime>
  </property>
  <property fmtid="{D5CDD505-2E9C-101B-9397-08002B2CF9AE}" pid="4" name="KSOTemplateDocerSaveRecord">
    <vt:lpwstr>eyJoZGlkIjoiYzQ3ZTY1MGFkNjUyMjRmODNlNjllNDE5ZTE5NjZlZWUiLCJ1c2VySWQiOiI0NTU2MjE5ODgifQ==</vt:lpwstr>
  </property>
  <property fmtid="{D5CDD505-2E9C-101B-9397-08002B2CF9AE}" pid="5" name="KSOProductBuildVer">
    <vt:lpwstr>2052-12.8.2.19550</vt:lpwstr>
  </property>
  <property fmtid="{D5CDD505-2E9C-101B-9397-08002B2CF9AE}" pid="6" name="ICV">
    <vt:lpwstr>53EEEF221B1CD4A879A3266872998078_43</vt:lpwstr>
  </property>
</Properties>
</file>