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辽宁省卫生</w:t>
      </w:r>
      <w:r>
        <w:rPr>
          <w:rFonts w:hint="eastAsia" w:ascii="方正小标宋简体" w:hAnsi="方正小标宋简体" w:eastAsia="方正小标宋简体" w:cs="方正小标宋简体"/>
          <w:sz w:val="44"/>
          <w:szCs w:val="44"/>
          <w:lang w:eastAsia="zh-CN"/>
        </w:rPr>
        <w:t>健康</w:t>
      </w:r>
      <w:r>
        <w:rPr>
          <w:rFonts w:hint="eastAsia" w:ascii="方正小标宋简体" w:hAnsi="方正小标宋简体" w:eastAsia="方正小标宋简体" w:cs="方正小标宋简体"/>
          <w:sz w:val="44"/>
          <w:szCs w:val="44"/>
        </w:rPr>
        <w:t>委拟</w:t>
      </w:r>
      <w:r>
        <w:rPr>
          <w:rFonts w:hint="eastAsia" w:ascii="方正小标宋简体" w:hAnsi="方正小标宋简体" w:eastAsia="方正小标宋简体" w:cs="方正小标宋简体"/>
          <w:sz w:val="44"/>
          <w:szCs w:val="44"/>
          <w:lang w:eastAsia="zh-CN"/>
        </w:rPr>
        <w:t>提名202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省科技奖励项目（人选）</w:t>
      </w:r>
      <w:r>
        <w:rPr>
          <w:rFonts w:hint="eastAsia" w:ascii="方正小标宋简体" w:hAnsi="方正小标宋简体" w:eastAsia="方正小标宋简体" w:cs="方正小标宋简体"/>
          <w:sz w:val="44"/>
          <w:szCs w:val="44"/>
          <w:lang w:eastAsia="zh-CN"/>
        </w:rPr>
        <w:t>公示材料</w:t>
      </w:r>
    </w:p>
    <w:p>
      <w:pPr>
        <w:jc w:val="center"/>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候选项目1：</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脑卒中综合防控策略及关键技术创新与应用</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一、主要完成单位：</w:t>
      </w:r>
      <w:r>
        <w:rPr>
          <w:rFonts w:hint="eastAsia" w:ascii="仿宋" w:hAnsi="仿宋" w:eastAsia="仿宋" w:cs="仿宋"/>
          <w:sz w:val="32"/>
          <w:szCs w:val="32"/>
          <w:lang w:val="en-US" w:eastAsia="zh-CN"/>
        </w:rPr>
        <w:t xml:space="preserve">辽宁省疾病预防控制中心、中国医科大学附属第一医院、大连市中心医院、沈阳市第一人民医院、沈阳市疾病预防控制中心 </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二、主要完成人：</w:t>
      </w:r>
      <w:r>
        <w:rPr>
          <w:rFonts w:hint="eastAsia" w:ascii="仿宋" w:hAnsi="仿宋" w:eastAsia="仿宋" w:cs="仿宋"/>
          <w:sz w:val="32"/>
          <w:szCs w:val="32"/>
          <w:lang w:val="en-US" w:eastAsia="zh-CN"/>
        </w:rPr>
        <w:t>邢立莹、杨佐森、刘爽、高政南、徐冰、滕伟禹、董桂华、朴立峰、刘世炜</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三、提名奖项及等级：</w:t>
      </w:r>
      <w:r>
        <w:rPr>
          <w:rFonts w:hint="eastAsia" w:ascii="仿宋" w:hAnsi="仿宋" w:eastAsia="仿宋" w:cs="仿宋"/>
          <w:sz w:val="32"/>
          <w:szCs w:val="32"/>
          <w:lang w:val="en-US" w:eastAsia="zh-CN"/>
        </w:rPr>
        <w:t xml:space="preserve">科技进步奖二等奖 </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四、项目简介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课题组近年来一直致力于脑卒中疾病负担相关研究，紧密围绕“揭示现象-找出原因-提供措施”三个方面出发，从流行病学任务的三个阶段，开展一系列深入研究，取得了多项国内领先的研究成果，革新了脑卒中综合防治体系，明显降低了脑卒中疾病负担。具体内容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内首次系统阐述辽宁省脑卒中疾病负担现状及其相关危险因素水平与特征，针对性提出早期干预的重点与策略。国内首次系统揭示了脑卒中患病及其预后相关的主要影响因子及其交互作用，并以此为依据调整和优化早期干预策略。国内首次建立了适宜基层的脑卒中早期筛查、早期管理、早期干预的信息化综合防控体系与策略。国内首次创新性建立了脑卒中规范化、快速救治体系，阐明了卒中急救地图建设的关键作用。国内首次创造性搭建了医防融合的的脑卒中综合防控体系和网络，践行脑卒中“防、治、救”三位一体的理念。该项目研究成果获计算机软件著作权6项。出版专著1本，在国内外权威期刊发表学术论文100篇，其中SCI收录文章50 篇，影响因子大于10的文章2篇，5 分以上7篇，总体影响因子185.678，单篇最高影响因子16.019，在 Web of Science 核心合集中共被引用312次，其中他引286次。在40余个国内外学术会议上交流。培养研究生30名，培训相关技术人员4000余人次。相关创新成果在国内20家三甲医院、40家县/区级医院、48家社区卫生服务中心/乡镇卫生院和25家各级各类疾病预防控制机构推广应用，惠及80余万人，取得了良好的社会效益。</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五、科技创新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内外首次系统阐述辽宁省脑卒中疾病负担现状及其相关危险因素水平与特征，针对性提出早期干预的重点与策略。国内首次明确了脑卒中疾病负担在不同时间和地区间的差异及变化，揭示了辽宁省城乡居民脑卒中高患病率、高复发率和高残障率的现状。国内首次发现辽宁省农村卒中患病率是全国平均水平的2.2倍，城市卒中患病率是全国平均水平的1.6倍，1/8 以上患者处于带残生存的状态，3/4 以上患者合并高血压、糖尿病等危险因素且均未得到有效控制，明确了脑卒中患者合并多种未控制的危险因素是其再次复发住院进而导致残障和死亡的主要原因。国内首次系统阐述了脑卒中相关危险因素的流行现状、水平与特征，揭示了城乡、性别、不同年龄间的差异及主要问题。国内首次发现辽宁省城乡居民房颤患者处于低知晓率、低治疗率的现状。国内首次建立了脑卒中规范化、快速救治体系，阐明了卒中急救地图建设在脑卒中患者早期救治中的关键作用。国内首次创造性搭建了医防融合的的脑卒中综合防控体系和网络，践行脑卒中“防、治、救”三位一体的理念。</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六、应用情况和效益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的人群脑卒中高危人群早期筛查、早期干预技术和策略，在国内20家三甲医院、40家县/区级医院、48家社区卫生服务中心/乡镇卫生院和25家各级各类疾病预防控制机构推广应用，每年定期开展2-3期规范化技术培训班，帮助各地建立了脑卒中早期筛查和干预体系，通过对辖区居民开展早期脑卒中危险因素筛查，对发现的脑卒中高危和中危人群进行连续随访、管理和干预，实现了早发现、早管理、早干预进而减少发病的目标。以卒中中心、卒中急救地图和卒中专科联盟建设为契机，推广脑卒中早期规范化救治技术，在北部战区总医院等医疗机构广泛应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主要应用单位情况表</w:t>
      </w:r>
    </w:p>
    <w:tbl>
      <w:tblPr>
        <w:tblStyle w:val="4"/>
        <w:tblW w:w="9210" w:type="dxa"/>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670"/>
        <w:gridCol w:w="1695"/>
        <w:gridCol w:w="298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2670" w:type="dxa"/>
            <w:noWrap w:val="0"/>
            <w:vAlign w:val="center"/>
          </w:tcPr>
          <w:p>
            <w:pPr>
              <w:pStyle w:val="7"/>
              <w:spacing w:before="159"/>
              <w:ind w:left="28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695" w:type="dxa"/>
            <w:noWrap w:val="0"/>
            <w:vAlign w:val="center"/>
          </w:tcPr>
          <w:p>
            <w:pPr>
              <w:pStyle w:val="7"/>
              <w:spacing w:before="159"/>
              <w:ind w:left="262"/>
              <w:jc w:val="center"/>
              <w:rPr>
                <w:rFonts w:hint="eastAsia" w:ascii="宋体" w:hAnsi="宋体" w:eastAsia="宋体" w:cs="宋体"/>
                <w:sz w:val="21"/>
                <w:szCs w:val="21"/>
              </w:rPr>
            </w:pPr>
            <w:r>
              <w:rPr>
                <w:rFonts w:hint="eastAsia" w:ascii="宋体" w:hAnsi="宋体" w:eastAsia="宋体" w:cs="宋体"/>
                <w:sz w:val="21"/>
                <w:szCs w:val="21"/>
              </w:rPr>
              <w:t>应用的技术</w:t>
            </w:r>
          </w:p>
        </w:tc>
        <w:tc>
          <w:tcPr>
            <w:tcW w:w="298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3" w:line="240" w:lineRule="auto"/>
              <w:ind w:left="535"/>
              <w:jc w:val="center"/>
              <w:textAlignment w:val="auto"/>
              <w:rPr>
                <w:rFonts w:hint="eastAsia" w:ascii="宋体" w:hAnsi="宋体" w:eastAsia="宋体" w:cs="宋体"/>
                <w:sz w:val="21"/>
                <w:szCs w:val="21"/>
              </w:rPr>
            </w:pPr>
            <w:r>
              <w:rPr>
                <w:rFonts w:hint="eastAsia" w:ascii="宋体" w:hAnsi="宋体" w:eastAsia="宋体" w:cs="宋体"/>
                <w:sz w:val="21"/>
                <w:szCs w:val="21"/>
              </w:rPr>
              <w:t>应用对象</w:t>
            </w:r>
          </w:p>
          <w:p>
            <w:pPr>
              <w:pStyle w:val="7"/>
              <w:keepNext w:val="0"/>
              <w:keepLines w:val="0"/>
              <w:pageBreakBefore w:val="0"/>
              <w:widowControl w:val="0"/>
              <w:kinsoku/>
              <w:wordWrap/>
              <w:overflowPunct/>
              <w:topLinePunct w:val="0"/>
              <w:autoSpaceDE/>
              <w:autoSpaceDN/>
              <w:bidi w:val="0"/>
              <w:adjustRightInd/>
              <w:snapToGrid/>
              <w:spacing w:before="4" w:line="240" w:lineRule="auto"/>
              <w:ind w:left="655"/>
              <w:jc w:val="center"/>
              <w:textAlignment w:val="auto"/>
              <w:rPr>
                <w:rFonts w:hint="eastAsia" w:ascii="宋体" w:hAnsi="宋体" w:eastAsia="宋体" w:cs="宋体"/>
                <w:sz w:val="21"/>
                <w:szCs w:val="21"/>
              </w:rPr>
            </w:pPr>
            <w:r>
              <w:rPr>
                <w:rFonts w:hint="eastAsia" w:ascii="宋体" w:hAnsi="宋体" w:eastAsia="宋体" w:cs="宋体"/>
                <w:sz w:val="21"/>
                <w:szCs w:val="21"/>
              </w:rPr>
              <w:t>及规模</w:t>
            </w:r>
          </w:p>
        </w:tc>
        <w:tc>
          <w:tcPr>
            <w:tcW w:w="1200" w:type="dxa"/>
            <w:noWrap w:val="0"/>
            <w:vAlign w:val="center"/>
          </w:tcPr>
          <w:p>
            <w:pPr>
              <w:pStyle w:val="7"/>
              <w:spacing w:before="3"/>
              <w:ind w:left="176" w:right="169"/>
              <w:jc w:val="center"/>
              <w:rPr>
                <w:rFonts w:hint="eastAsia" w:ascii="宋体" w:hAnsi="宋体" w:eastAsia="宋体" w:cs="宋体"/>
                <w:sz w:val="21"/>
                <w:szCs w:val="21"/>
              </w:rPr>
            </w:pPr>
            <w:r>
              <w:rPr>
                <w:rFonts w:hint="eastAsia" w:ascii="宋体" w:hAnsi="宋体" w:eastAsia="宋体" w:cs="宋体"/>
                <w:sz w:val="21"/>
                <w:szCs w:val="21"/>
              </w:rPr>
              <w:t>应用起止</w:t>
            </w:r>
          </w:p>
          <w:p>
            <w:pPr>
              <w:pStyle w:val="7"/>
              <w:spacing w:before="4" w:line="289" w:lineRule="exact"/>
              <w:ind w:left="176" w:right="169"/>
              <w:jc w:val="center"/>
              <w:rPr>
                <w:rFonts w:hint="eastAsia" w:ascii="宋体" w:hAnsi="宋体" w:eastAsia="宋体" w:cs="宋体"/>
                <w:sz w:val="21"/>
                <w:szCs w:val="21"/>
              </w:rPr>
            </w:pPr>
            <w:r>
              <w:rPr>
                <w:rFonts w:hint="eastAsia" w:ascii="宋体" w:hAnsi="宋体" w:eastAsia="宋体" w:cs="宋体"/>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3"/>
              <w:ind w:left="107"/>
              <w:jc w:val="center"/>
              <w:rPr>
                <w:rFonts w:hint="eastAsia" w:ascii="宋体" w:hAnsi="宋体" w:eastAsia="宋体" w:cs="宋体"/>
                <w:sz w:val="21"/>
                <w:szCs w:val="21"/>
              </w:rPr>
            </w:pPr>
            <w:r>
              <w:rPr>
                <w:rFonts w:hint="eastAsia" w:ascii="宋体" w:hAnsi="宋体" w:eastAsia="宋体" w:cs="宋体"/>
                <w:sz w:val="21"/>
                <w:szCs w:val="21"/>
              </w:rPr>
              <w:t>1</w:t>
            </w:r>
          </w:p>
        </w:tc>
        <w:tc>
          <w:tcPr>
            <w:tcW w:w="2670" w:type="dxa"/>
            <w:noWrap w:val="0"/>
            <w:vAlign w:val="center"/>
          </w:tcPr>
          <w:p>
            <w:pPr>
              <w:pStyle w:val="7"/>
              <w:spacing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大连市中心医院</w:t>
            </w:r>
          </w:p>
        </w:tc>
        <w:tc>
          <w:tcPr>
            <w:tcW w:w="1695" w:type="dxa"/>
            <w:vMerge w:val="restart"/>
            <w:noWrap w:val="0"/>
            <w:vAlign w:val="center"/>
          </w:tcPr>
          <w:p>
            <w:pPr>
              <w:pStyle w:val="7"/>
              <w:spacing w:before="20" w:line="278" w:lineRule="auto"/>
              <w:ind w:left="106" w:right="141"/>
              <w:jc w:val="center"/>
              <w:rPr>
                <w:rFonts w:hint="eastAsia" w:ascii="宋体" w:hAnsi="宋体" w:eastAsia="宋体" w:cs="宋体"/>
                <w:sz w:val="21"/>
                <w:szCs w:val="21"/>
              </w:rPr>
            </w:pPr>
            <w:r>
              <w:rPr>
                <w:rFonts w:hint="eastAsia" w:ascii="宋体" w:hAnsi="宋体" w:eastAsia="宋体" w:cs="宋体"/>
                <w:spacing w:val="-2"/>
                <w:sz w:val="21"/>
                <w:szCs w:val="21"/>
              </w:rPr>
              <w:t>脑卒中高危人群</w:t>
            </w:r>
            <w:r>
              <w:rPr>
                <w:rFonts w:hint="eastAsia" w:ascii="宋体" w:hAnsi="宋体" w:eastAsia="宋体" w:cs="宋体"/>
                <w:sz w:val="21"/>
                <w:szCs w:val="21"/>
              </w:rPr>
              <w:t xml:space="preserve">筛查和干预技 </w:t>
            </w:r>
            <w:r>
              <w:rPr>
                <w:rFonts w:hint="eastAsia" w:ascii="宋体" w:hAnsi="宋体" w:eastAsia="宋体" w:cs="宋体"/>
                <w:spacing w:val="-2"/>
                <w:sz w:val="21"/>
                <w:szCs w:val="21"/>
              </w:rPr>
              <w:t>术、溶栓取栓规</w:t>
            </w:r>
            <w:r>
              <w:rPr>
                <w:rFonts w:hint="eastAsia" w:ascii="宋体" w:hAnsi="宋体" w:eastAsia="宋体" w:cs="宋体"/>
                <w:sz w:val="21"/>
                <w:szCs w:val="21"/>
              </w:rPr>
              <w:t>范化技术</w:t>
            </w:r>
          </w:p>
        </w:tc>
        <w:tc>
          <w:tcPr>
            <w:tcW w:w="2985" w:type="dxa"/>
            <w:noWrap w:val="0"/>
            <w:vAlign w:val="center"/>
          </w:tcPr>
          <w:p>
            <w:pPr>
              <w:pStyle w:val="7"/>
              <w:spacing w:line="278" w:lineRule="auto"/>
              <w:ind w:left="108" w:right="127"/>
              <w:jc w:val="center"/>
              <w:rPr>
                <w:rFonts w:hint="eastAsia" w:ascii="宋体" w:hAnsi="宋体" w:eastAsia="宋体" w:cs="宋体"/>
                <w:sz w:val="21"/>
                <w:szCs w:val="21"/>
              </w:rPr>
            </w:pPr>
            <w:r>
              <w:rPr>
                <w:rFonts w:hint="eastAsia" w:ascii="宋体" w:hAnsi="宋体" w:eastAsia="宋体" w:cs="宋体"/>
                <w:spacing w:val="-19"/>
                <w:sz w:val="21"/>
                <w:szCs w:val="21"/>
              </w:rPr>
              <w:t xml:space="preserve">城乡 </w:t>
            </w:r>
            <w:r>
              <w:rPr>
                <w:rFonts w:hint="eastAsia" w:ascii="宋体" w:hAnsi="宋体" w:eastAsia="宋体" w:cs="宋体"/>
                <w:sz w:val="21"/>
                <w:szCs w:val="21"/>
              </w:rPr>
              <w:t>40</w:t>
            </w:r>
            <w:r>
              <w:rPr>
                <w:rFonts w:hint="eastAsia" w:ascii="宋体" w:hAnsi="宋体" w:eastAsia="宋体" w:cs="宋体"/>
                <w:spacing w:val="-13"/>
                <w:sz w:val="21"/>
                <w:szCs w:val="21"/>
              </w:rPr>
              <w:t xml:space="preserve"> 岁及以上居</w:t>
            </w:r>
            <w:r>
              <w:rPr>
                <w:rFonts w:hint="eastAsia" w:ascii="宋体" w:hAnsi="宋体" w:eastAsia="宋体" w:cs="宋体"/>
                <w:sz w:val="21"/>
                <w:szCs w:val="21"/>
              </w:rPr>
              <w:t>民，42827</w:t>
            </w:r>
            <w:r>
              <w:rPr>
                <w:rFonts w:hint="eastAsia" w:ascii="宋体" w:hAnsi="宋体" w:eastAsia="宋体" w:cs="宋体"/>
                <w:spacing w:val="-28"/>
                <w:sz w:val="21"/>
                <w:szCs w:val="21"/>
              </w:rPr>
              <w:t xml:space="preserve"> 人</w:t>
            </w:r>
          </w:p>
        </w:tc>
        <w:tc>
          <w:tcPr>
            <w:tcW w:w="1200" w:type="dxa"/>
            <w:vMerge w:val="restart"/>
            <w:noWrap w:val="0"/>
            <w:vAlign w:val="center"/>
          </w:tcPr>
          <w:p>
            <w:pPr>
              <w:pStyle w:val="7"/>
              <w:ind w:left="107"/>
              <w:jc w:val="center"/>
              <w:rPr>
                <w:rFonts w:hint="eastAsia" w:ascii="宋体" w:hAnsi="宋体" w:eastAsia="宋体" w:cs="宋体"/>
                <w:sz w:val="21"/>
                <w:szCs w:val="21"/>
              </w:rPr>
            </w:pPr>
            <w:r>
              <w:rPr>
                <w:rFonts w:hint="eastAsia" w:ascii="宋体" w:hAnsi="宋体" w:eastAsia="宋体" w:cs="宋体"/>
                <w:sz w:val="21"/>
                <w:szCs w:val="21"/>
              </w:rPr>
              <w:t>2013.1</w:t>
            </w:r>
          </w:p>
          <w:p>
            <w:pPr>
              <w:pStyle w:val="7"/>
              <w:spacing w:before="43"/>
              <w:ind w:left="107"/>
              <w:jc w:val="center"/>
              <w:rPr>
                <w:rFonts w:hint="eastAsia" w:ascii="宋体" w:hAnsi="宋体" w:eastAsia="宋体" w:cs="宋体"/>
                <w:sz w:val="21"/>
                <w:szCs w:val="21"/>
              </w:rPr>
            </w:pPr>
            <w:r>
              <w:rPr>
                <w:rFonts w:hint="eastAsia" w:ascii="宋体" w:hAnsi="宋体" w:eastAsia="宋体" w:cs="宋体"/>
                <w:sz w:val="21"/>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2"/>
              <w:ind w:left="107"/>
              <w:jc w:val="center"/>
              <w:rPr>
                <w:rFonts w:hint="eastAsia" w:ascii="宋体" w:hAnsi="宋体" w:eastAsia="宋体" w:cs="宋体"/>
                <w:sz w:val="21"/>
                <w:szCs w:val="21"/>
              </w:rPr>
            </w:pPr>
            <w:r>
              <w:rPr>
                <w:rFonts w:hint="eastAsia" w:ascii="宋体" w:hAnsi="宋体" w:eastAsia="宋体" w:cs="宋体"/>
                <w:sz w:val="21"/>
                <w:szCs w:val="21"/>
              </w:rPr>
              <w:t>2</w:t>
            </w:r>
          </w:p>
        </w:tc>
        <w:tc>
          <w:tcPr>
            <w:tcW w:w="2670" w:type="dxa"/>
            <w:noWrap w:val="0"/>
            <w:vAlign w:val="center"/>
          </w:tcPr>
          <w:p>
            <w:pPr>
              <w:pStyle w:val="7"/>
              <w:spacing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朝阳市中心医院</w:t>
            </w:r>
          </w:p>
        </w:tc>
        <w:tc>
          <w:tcPr>
            <w:tcW w:w="1695" w:type="dxa"/>
            <w:vMerge w:val="continue"/>
            <w:noWrap w:val="0"/>
            <w:vAlign w:val="center"/>
          </w:tcPr>
          <w:p>
            <w:pPr>
              <w:pStyle w:val="7"/>
              <w:spacing w:before="20" w:line="278" w:lineRule="auto"/>
              <w:ind w:left="106" w:right="141"/>
              <w:jc w:val="center"/>
              <w:rPr>
                <w:rFonts w:hint="eastAsia" w:ascii="宋体" w:hAnsi="宋体" w:eastAsia="宋体" w:cs="宋体"/>
                <w:sz w:val="21"/>
                <w:szCs w:val="21"/>
              </w:rPr>
            </w:pPr>
          </w:p>
        </w:tc>
        <w:tc>
          <w:tcPr>
            <w:tcW w:w="2985" w:type="dxa"/>
            <w:noWrap w:val="0"/>
            <w:vAlign w:val="center"/>
          </w:tcPr>
          <w:p>
            <w:pPr>
              <w:pStyle w:val="7"/>
              <w:spacing w:line="278" w:lineRule="auto"/>
              <w:ind w:left="108" w:right="127"/>
              <w:jc w:val="center"/>
              <w:rPr>
                <w:rFonts w:hint="eastAsia" w:ascii="宋体" w:hAnsi="宋体" w:eastAsia="宋体" w:cs="宋体"/>
                <w:sz w:val="21"/>
                <w:szCs w:val="21"/>
              </w:rPr>
            </w:pPr>
            <w:r>
              <w:rPr>
                <w:rFonts w:hint="eastAsia" w:ascii="宋体" w:hAnsi="宋体" w:eastAsia="宋体" w:cs="宋体"/>
                <w:spacing w:val="-19"/>
                <w:sz w:val="21"/>
                <w:szCs w:val="21"/>
              </w:rPr>
              <w:t xml:space="preserve">城乡 </w:t>
            </w:r>
            <w:r>
              <w:rPr>
                <w:rFonts w:hint="eastAsia" w:ascii="宋体" w:hAnsi="宋体" w:eastAsia="宋体" w:cs="宋体"/>
                <w:sz w:val="21"/>
                <w:szCs w:val="21"/>
              </w:rPr>
              <w:t>40</w:t>
            </w:r>
            <w:r>
              <w:rPr>
                <w:rFonts w:hint="eastAsia" w:ascii="宋体" w:hAnsi="宋体" w:eastAsia="宋体" w:cs="宋体"/>
                <w:spacing w:val="-13"/>
                <w:sz w:val="21"/>
                <w:szCs w:val="21"/>
              </w:rPr>
              <w:t xml:space="preserve"> 岁及以上居</w:t>
            </w:r>
            <w:r>
              <w:rPr>
                <w:rFonts w:hint="eastAsia" w:ascii="宋体" w:hAnsi="宋体" w:eastAsia="宋体" w:cs="宋体"/>
                <w:sz w:val="21"/>
                <w:szCs w:val="21"/>
              </w:rPr>
              <w:t>民，55282</w:t>
            </w:r>
            <w:r>
              <w:rPr>
                <w:rFonts w:hint="eastAsia" w:ascii="宋体" w:hAnsi="宋体" w:eastAsia="宋体" w:cs="宋体"/>
                <w:spacing w:val="-28"/>
                <w:sz w:val="21"/>
                <w:szCs w:val="21"/>
              </w:rPr>
              <w:t xml:space="preserve"> 人</w:t>
            </w: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2"/>
              <w:ind w:left="107"/>
              <w:jc w:val="center"/>
              <w:rPr>
                <w:rFonts w:hint="eastAsia" w:ascii="宋体" w:hAnsi="宋体" w:eastAsia="宋体" w:cs="宋体"/>
                <w:sz w:val="21"/>
                <w:szCs w:val="21"/>
              </w:rPr>
            </w:pPr>
            <w:r>
              <w:rPr>
                <w:rFonts w:hint="eastAsia" w:ascii="宋体" w:hAnsi="宋体" w:eastAsia="宋体" w:cs="宋体"/>
                <w:sz w:val="21"/>
                <w:szCs w:val="21"/>
              </w:rPr>
              <w:t>3</w:t>
            </w:r>
          </w:p>
        </w:tc>
        <w:tc>
          <w:tcPr>
            <w:tcW w:w="2670" w:type="dxa"/>
            <w:noWrap w:val="0"/>
            <w:vAlign w:val="center"/>
          </w:tcPr>
          <w:p>
            <w:pPr>
              <w:pStyle w:val="7"/>
              <w:spacing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沈阳市第一人民医院</w:t>
            </w:r>
          </w:p>
        </w:tc>
        <w:tc>
          <w:tcPr>
            <w:tcW w:w="1695" w:type="dxa"/>
            <w:vMerge w:val="continue"/>
            <w:noWrap w:val="0"/>
            <w:vAlign w:val="center"/>
          </w:tcPr>
          <w:p>
            <w:pPr>
              <w:pStyle w:val="7"/>
              <w:spacing w:before="20" w:line="278" w:lineRule="auto"/>
              <w:ind w:left="106" w:right="141"/>
              <w:jc w:val="center"/>
              <w:rPr>
                <w:rFonts w:hint="eastAsia" w:ascii="宋体" w:hAnsi="宋体" w:eastAsia="宋体" w:cs="宋体"/>
                <w:sz w:val="21"/>
                <w:szCs w:val="21"/>
              </w:rPr>
            </w:pPr>
          </w:p>
        </w:tc>
        <w:tc>
          <w:tcPr>
            <w:tcW w:w="2985" w:type="dxa"/>
            <w:noWrap w:val="0"/>
            <w:vAlign w:val="center"/>
          </w:tcPr>
          <w:p>
            <w:pPr>
              <w:pStyle w:val="7"/>
              <w:spacing w:line="278" w:lineRule="auto"/>
              <w:ind w:left="108" w:right="127"/>
              <w:jc w:val="center"/>
              <w:rPr>
                <w:rFonts w:hint="eastAsia" w:ascii="宋体" w:hAnsi="宋体" w:eastAsia="宋体" w:cs="宋体"/>
                <w:sz w:val="21"/>
                <w:szCs w:val="21"/>
              </w:rPr>
            </w:pPr>
            <w:r>
              <w:rPr>
                <w:rFonts w:hint="eastAsia" w:ascii="宋体" w:hAnsi="宋体" w:eastAsia="宋体" w:cs="宋体"/>
                <w:spacing w:val="-19"/>
                <w:sz w:val="21"/>
                <w:szCs w:val="21"/>
              </w:rPr>
              <w:t xml:space="preserve">城乡 </w:t>
            </w:r>
            <w:r>
              <w:rPr>
                <w:rFonts w:hint="eastAsia" w:ascii="宋体" w:hAnsi="宋体" w:eastAsia="宋体" w:cs="宋体"/>
                <w:sz w:val="21"/>
                <w:szCs w:val="21"/>
              </w:rPr>
              <w:t>40</w:t>
            </w:r>
            <w:r>
              <w:rPr>
                <w:rFonts w:hint="eastAsia" w:ascii="宋体" w:hAnsi="宋体" w:eastAsia="宋体" w:cs="宋体"/>
                <w:spacing w:val="-13"/>
                <w:sz w:val="21"/>
                <w:szCs w:val="21"/>
              </w:rPr>
              <w:t xml:space="preserve"> 岁及以上居</w:t>
            </w:r>
            <w:r>
              <w:rPr>
                <w:rFonts w:hint="eastAsia" w:ascii="宋体" w:hAnsi="宋体" w:eastAsia="宋体" w:cs="宋体"/>
                <w:sz w:val="21"/>
                <w:szCs w:val="21"/>
              </w:rPr>
              <w:t>民，38356</w:t>
            </w:r>
            <w:r>
              <w:rPr>
                <w:rFonts w:hint="eastAsia" w:ascii="宋体" w:hAnsi="宋体" w:eastAsia="宋体" w:cs="宋体"/>
                <w:spacing w:val="-28"/>
                <w:sz w:val="21"/>
                <w:szCs w:val="21"/>
              </w:rPr>
              <w:t xml:space="preserve"> 人</w:t>
            </w: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4"/>
              <w:ind w:left="107"/>
              <w:jc w:val="center"/>
              <w:rPr>
                <w:rFonts w:hint="eastAsia" w:ascii="宋体" w:hAnsi="宋体" w:eastAsia="宋体" w:cs="宋体"/>
                <w:sz w:val="21"/>
                <w:szCs w:val="21"/>
              </w:rPr>
            </w:pPr>
            <w:r>
              <w:rPr>
                <w:rFonts w:hint="eastAsia" w:ascii="宋体" w:hAnsi="宋体" w:eastAsia="宋体" w:cs="宋体"/>
                <w:sz w:val="21"/>
                <w:szCs w:val="21"/>
              </w:rPr>
              <w:t>4</w:t>
            </w:r>
          </w:p>
        </w:tc>
        <w:tc>
          <w:tcPr>
            <w:tcW w:w="2670" w:type="dxa"/>
            <w:noWrap w:val="0"/>
            <w:vAlign w:val="center"/>
          </w:tcPr>
          <w:p>
            <w:pPr>
              <w:pStyle w:val="7"/>
              <w:spacing w:before="178"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朝阳市疾病预防控制中心</w:t>
            </w:r>
          </w:p>
        </w:tc>
        <w:tc>
          <w:tcPr>
            <w:tcW w:w="1695" w:type="dxa"/>
            <w:vMerge w:val="restart"/>
            <w:noWrap w:val="0"/>
            <w:vAlign w:val="center"/>
          </w:tcPr>
          <w:p>
            <w:pPr>
              <w:pStyle w:val="7"/>
              <w:spacing w:before="22" w:line="278" w:lineRule="auto"/>
              <w:ind w:left="106" w:right="141"/>
              <w:jc w:val="center"/>
              <w:rPr>
                <w:rFonts w:hint="eastAsia" w:ascii="宋体" w:hAnsi="宋体" w:eastAsia="宋体" w:cs="宋体"/>
                <w:sz w:val="21"/>
                <w:szCs w:val="21"/>
              </w:rPr>
            </w:pPr>
            <w:r>
              <w:rPr>
                <w:rFonts w:hint="eastAsia" w:ascii="宋体" w:hAnsi="宋体" w:eastAsia="宋体" w:cs="宋体"/>
                <w:sz w:val="21"/>
                <w:szCs w:val="21"/>
              </w:rPr>
              <w:t xml:space="preserve">脑卒中早期筛 </w:t>
            </w:r>
            <w:r>
              <w:rPr>
                <w:rFonts w:hint="eastAsia" w:ascii="宋体" w:hAnsi="宋体" w:eastAsia="宋体" w:cs="宋体"/>
                <w:spacing w:val="-2"/>
                <w:sz w:val="21"/>
                <w:szCs w:val="21"/>
              </w:rPr>
              <w:t>查、早期管理和</w:t>
            </w:r>
            <w:r>
              <w:rPr>
                <w:rFonts w:hint="eastAsia" w:ascii="宋体" w:hAnsi="宋体" w:eastAsia="宋体" w:cs="宋体"/>
                <w:sz w:val="21"/>
                <w:szCs w:val="21"/>
              </w:rPr>
              <w:t>早期干预技术</w:t>
            </w:r>
          </w:p>
        </w:tc>
        <w:tc>
          <w:tcPr>
            <w:tcW w:w="2985" w:type="dxa"/>
            <w:vMerge w:val="restart"/>
            <w:noWrap w:val="0"/>
            <w:vAlign w:val="center"/>
          </w:tcPr>
          <w:p>
            <w:pPr>
              <w:pStyle w:val="7"/>
              <w:spacing w:before="178" w:line="278" w:lineRule="auto"/>
              <w:ind w:left="108" w:right="233"/>
              <w:jc w:val="center"/>
              <w:rPr>
                <w:rFonts w:hint="eastAsia" w:ascii="宋体" w:hAnsi="宋体" w:eastAsia="宋体" w:cs="宋体"/>
                <w:sz w:val="21"/>
                <w:szCs w:val="21"/>
              </w:rPr>
            </w:pPr>
            <w:r>
              <w:rPr>
                <w:rFonts w:hint="eastAsia" w:ascii="宋体" w:hAnsi="宋体" w:eastAsia="宋体" w:cs="宋体"/>
                <w:sz w:val="21"/>
                <w:szCs w:val="21"/>
              </w:rPr>
              <w:t>对辖区居民开展脑卒中综合干预群</w:t>
            </w:r>
          </w:p>
        </w:tc>
        <w:tc>
          <w:tcPr>
            <w:tcW w:w="1200" w:type="dxa"/>
            <w:vMerge w:val="restart"/>
            <w:noWrap w:val="0"/>
            <w:vAlign w:val="center"/>
          </w:tcPr>
          <w:p>
            <w:pPr>
              <w:pStyle w:val="7"/>
              <w:spacing w:before="178"/>
              <w:ind w:left="107"/>
              <w:jc w:val="center"/>
              <w:rPr>
                <w:rFonts w:hint="eastAsia" w:ascii="宋体" w:hAnsi="宋体" w:eastAsia="宋体" w:cs="宋体"/>
                <w:sz w:val="21"/>
                <w:szCs w:val="21"/>
              </w:rPr>
            </w:pPr>
            <w:r>
              <w:rPr>
                <w:rFonts w:hint="eastAsia" w:ascii="宋体" w:hAnsi="宋体" w:eastAsia="宋体" w:cs="宋体"/>
                <w:sz w:val="21"/>
                <w:szCs w:val="21"/>
              </w:rPr>
              <w:t>2014.</w:t>
            </w:r>
            <w:r>
              <w:rPr>
                <w:rFonts w:hint="eastAsia" w:ascii="宋体" w:hAnsi="宋体" w:eastAsia="宋体" w:cs="宋体"/>
                <w:sz w:val="21"/>
                <w:szCs w:val="21"/>
                <w:lang w:val="en-US" w:eastAsia="zh-CN"/>
              </w:rPr>
              <w:t>1</w:t>
            </w:r>
            <w:r>
              <w:rPr>
                <w:rFonts w:hint="eastAsia" w:ascii="宋体" w:hAnsi="宋体" w:eastAsia="宋体" w:cs="宋体"/>
                <w:sz w:val="21"/>
                <w:szCs w:val="21"/>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3"/>
              <w:ind w:left="1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670" w:type="dxa"/>
            <w:noWrap w:val="0"/>
            <w:vAlign w:val="center"/>
          </w:tcPr>
          <w:p>
            <w:pPr>
              <w:pStyle w:val="7"/>
              <w:spacing w:before="177"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营口市疾病预防控制中心</w:t>
            </w:r>
          </w:p>
        </w:tc>
        <w:tc>
          <w:tcPr>
            <w:tcW w:w="1695" w:type="dxa"/>
            <w:vMerge w:val="continue"/>
            <w:noWrap w:val="0"/>
            <w:vAlign w:val="center"/>
          </w:tcPr>
          <w:p>
            <w:pPr>
              <w:pStyle w:val="7"/>
              <w:spacing w:before="21" w:line="278" w:lineRule="auto"/>
              <w:ind w:left="106" w:right="141"/>
              <w:jc w:val="center"/>
              <w:rPr>
                <w:rFonts w:hint="eastAsia" w:ascii="宋体" w:hAnsi="宋体" w:eastAsia="宋体" w:cs="宋体"/>
                <w:sz w:val="21"/>
                <w:szCs w:val="21"/>
              </w:rPr>
            </w:pPr>
          </w:p>
        </w:tc>
        <w:tc>
          <w:tcPr>
            <w:tcW w:w="2985" w:type="dxa"/>
            <w:vMerge w:val="continue"/>
            <w:noWrap w:val="0"/>
            <w:vAlign w:val="center"/>
          </w:tcPr>
          <w:p>
            <w:pPr>
              <w:pStyle w:val="7"/>
              <w:spacing w:before="177" w:line="278" w:lineRule="auto"/>
              <w:ind w:left="108" w:right="233"/>
              <w:jc w:val="center"/>
              <w:rPr>
                <w:rFonts w:hint="eastAsia" w:ascii="宋体" w:hAnsi="宋体" w:eastAsia="宋体" w:cs="宋体"/>
                <w:sz w:val="21"/>
                <w:szCs w:val="21"/>
              </w:rPr>
            </w:pP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3"/>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6</w:t>
            </w:r>
          </w:p>
        </w:tc>
        <w:tc>
          <w:tcPr>
            <w:tcW w:w="2670" w:type="dxa"/>
            <w:noWrap w:val="0"/>
            <w:vAlign w:val="center"/>
          </w:tcPr>
          <w:p>
            <w:pPr>
              <w:pStyle w:val="7"/>
              <w:spacing w:before="20"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营口市站前区建设街道办事处社区卫生服务中心</w:t>
            </w:r>
          </w:p>
        </w:tc>
        <w:tc>
          <w:tcPr>
            <w:tcW w:w="1695" w:type="dxa"/>
            <w:vMerge w:val="restart"/>
            <w:noWrap w:val="0"/>
            <w:vAlign w:val="center"/>
          </w:tcPr>
          <w:p>
            <w:pPr>
              <w:pStyle w:val="7"/>
              <w:spacing w:before="177" w:line="278" w:lineRule="auto"/>
              <w:ind w:left="106" w:right="141"/>
              <w:jc w:val="center"/>
              <w:rPr>
                <w:rFonts w:hint="eastAsia" w:ascii="宋体" w:hAnsi="宋体" w:eastAsia="宋体" w:cs="宋体"/>
                <w:sz w:val="21"/>
                <w:szCs w:val="21"/>
              </w:rPr>
            </w:pPr>
            <w:r>
              <w:rPr>
                <w:rFonts w:hint="eastAsia" w:ascii="宋体" w:hAnsi="宋体" w:eastAsia="宋体" w:cs="宋体"/>
                <w:sz w:val="21"/>
                <w:szCs w:val="21"/>
              </w:rPr>
              <w:t>脑卒中早期筛</w:t>
            </w:r>
            <w:r>
              <w:rPr>
                <w:rFonts w:hint="eastAsia" w:ascii="宋体" w:hAnsi="宋体" w:eastAsia="宋体" w:cs="宋体"/>
                <w:spacing w:val="-2"/>
                <w:sz w:val="21"/>
                <w:szCs w:val="21"/>
              </w:rPr>
              <w:t>查、早期管理和</w:t>
            </w:r>
            <w:r>
              <w:rPr>
                <w:rFonts w:hint="eastAsia" w:ascii="宋体" w:hAnsi="宋体" w:eastAsia="宋体" w:cs="宋体"/>
                <w:sz w:val="21"/>
                <w:szCs w:val="21"/>
              </w:rPr>
              <w:t>早期干预技术</w:t>
            </w:r>
          </w:p>
        </w:tc>
        <w:tc>
          <w:tcPr>
            <w:tcW w:w="2985" w:type="dxa"/>
            <w:noWrap w:val="0"/>
            <w:vAlign w:val="center"/>
          </w:tcPr>
          <w:p>
            <w:pPr>
              <w:pStyle w:val="7"/>
              <w:spacing w:before="177" w:line="278" w:lineRule="auto"/>
              <w:ind w:left="108" w:right="233"/>
              <w:jc w:val="center"/>
              <w:rPr>
                <w:rFonts w:hint="eastAsia" w:ascii="宋体" w:hAnsi="宋体" w:eastAsia="宋体" w:cs="宋体"/>
                <w:sz w:val="21"/>
                <w:szCs w:val="21"/>
              </w:rPr>
            </w:pPr>
            <w:r>
              <w:rPr>
                <w:rFonts w:hint="eastAsia" w:ascii="宋体" w:hAnsi="宋体" w:eastAsia="宋体" w:cs="宋体"/>
                <w:sz w:val="21"/>
                <w:szCs w:val="21"/>
              </w:rPr>
              <w:t>对辖区居民开展脑卒中高危因素早期筛查和综合干预</w:t>
            </w: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2"/>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7</w:t>
            </w:r>
          </w:p>
        </w:tc>
        <w:tc>
          <w:tcPr>
            <w:tcW w:w="2670" w:type="dxa"/>
            <w:noWrap w:val="0"/>
            <w:vAlign w:val="center"/>
          </w:tcPr>
          <w:p>
            <w:pPr>
              <w:pStyle w:val="7"/>
              <w:spacing w:before="176"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营口市第五人民医院</w:t>
            </w:r>
          </w:p>
        </w:tc>
        <w:tc>
          <w:tcPr>
            <w:tcW w:w="1695" w:type="dxa"/>
            <w:vMerge w:val="continue"/>
            <w:noWrap w:val="0"/>
            <w:vAlign w:val="center"/>
          </w:tcPr>
          <w:p>
            <w:pPr>
              <w:pStyle w:val="7"/>
              <w:spacing w:before="20" w:line="278" w:lineRule="auto"/>
              <w:ind w:left="106" w:right="141"/>
              <w:jc w:val="center"/>
              <w:rPr>
                <w:rFonts w:hint="eastAsia" w:ascii="宋体" w:hAnsi="宋体" w:eastAsia="宋体" w:cs="宋体"/>
                <w:sz w:val="21"/>
                <w:szCs w:val="21"/>
              </w:rPr>
            </w:pPr>
          </w:p>
        </w:tc>
        <w:tc>
          <w:tcPr>
            <w:tcW w:w="2985" w:type="dxa"/>
            <w:vMerge w:val="restart"/>
            <w:noWrap w:val="0"/>
            <w:vAlign w:val="center"/>
          </w:tcPr>
          <w:p>
            <w:pPr>
              <w:pStyle w:val="7"/>
              <w:spacing w:before="176" w:line="278" w:lineRule="auto"/>
              <w:ind w:left="108" w:right="233"/>
              <w:jc w:val="center"/>
              <w:rPr>
                <w:rFonts w:hint="eastAsia" w:ascii="宋体" w:hAnsi="宋体" w:eastAsia="宋体" w:cs="宋体"/>
                <w:sz w:val="21"/>
                <w:szCs w:val="21"/>
              </w:rPr>
            </w:pPr>
            <w:r>
              <w:rPr>
                <w:rFonts w:hint="eastAsia" w:ascii="宋体" w:hAnsi="宋体" w:eastAsia="宋体" w:cs="宋体"/>
                <w:sz w:val="21"/>
                <w:szCs w:val="21"/>
              </w:rPr>
              <w:t>对辖区居民开展脑卒中综合干预群</w:t>
            </w: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2"/>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8</w:t>
            </w:r>
          </w:p>
        </w:tc>
        <w:tc>
          <w:tcPr>
            <w:tcW w:w="2670" w:type="dxa"/>
            <w:noWrap w:val="0"/>
            <w:vAlign w:val="center"/>
          </w:tcPr>
          <w:p>
            <w:pPr>
              <w:pStyle w:val="7"/>
              <w:spacing w:before="20"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沈阳市铁西区霁虹社区卫生服务中心</w:t>
            </w:r>
          </w:p>
        </w:tc>
        <w:tc>
          <w:tcPr>
            <w:tcW w:w="1695" w:type="dxa"/>
            <w:vMerge w:val="continue"/>
            <w:noWrap w:val="0"/>
            <w:vAlign w:val="center"/>
          </w:tcPr>
          <w:p>
            <w:pPr>
              <w:pStyle w:val="7"/>
              <w:spacing w:before="20" w:line="278" w:lineRule="auto"/>
              <w:ind w:left="106" w:right="141"/>
              <w:jc w:val="center"/>
              <w:rPr>
                <w:rFonts w:hint="eastAsia" w:ascii="宋体" w:hAnsi="宋体" w:eastAsia="宋体" w:cs="宋体"/>
                <w:sz w:val="21"/>
                <w:szCs w:val="21"/>
              </w:rPr>
            </w:pPr>
          </w:p>
        </w:tc>
        <w:tc>
          <w:tcPr>
            <w:tcW w:w="2985" w:type="dxa"/>
            <w:vMerge w:val="continue"/>
            <w:noWrap w:val="0"/>
            <w:vAlign w:val="center"/>
          </w:tcPr>
          <w:p>
            <w:pPr>
              <w:pStyle w:val="7"/>
              <w:spacing w:before="176" w:line="278" w:lineRule="auto"/>
              <w:ind w:left="108" w:right="233"/>
              <w:jc w:val="center"/>
              <w:rPr>
                <w:rFonts w:hint="eastAsia" w:ascii="宋体" w:hAnsi="宋体" w:eastAsia="宋体" w:cs="宋体"/>
                <w:sz w:val="21"/>
                <w:szCs w:val="21"/>
              </w:rPr>
            </w:pP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2"/>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9</w:t>
            </w:r>
          </w:p>
        </w:tc>
        <w:tc>
          <w:tcPr>
            <w:tcW w:w="2670" w:type="dxa"/>
            <w:noWrap w:val="0"/>
            <w:vAlign w:val="center"/>
          </w:tcPr>
          <w:p>
            <w:pPr>
              <w:pStyle w:val="7"/>
              <w:spacing w:before="178"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沈阳市第五人民医院</w:t>
            </w:r>
          </w:p>
        </w:tc>
        <w:tc>
          <w:tcPr>
            <w:tcW w:w="1695" w:type="dxa"/>
            <w:vMerge w:val="restart"/>
            <w:noWrap w:val="0"/>
            <w:vAlign w:val="center"/>
          </w:tcPr>
          <w:p>
            <w:pPr>
              <w:pStyle w:val="7"/>
              <w:spacing w:before="22"/>
              <w:ind w:left="106"/>
              <w:jc w:val="center"/>
              <w:rPr>
                <w:rFonts w:hint="eastAsia" w:ascii="宋体" w:hAnsi="宋体" w:eastAsia="宋体" w:cs="宋体"/>
                <w:sz w:val="21"/>
                <w:szCs w:val="21"/>
              </w:rPr>
            </w:pPr>
            <w:r>
              <w:rPr>
                <w:rFonts w:hint="eastAsia" w:ascii="宋体" w:hAnsi="宋体" w:eastAsia="宋体" w:cs="宋体"/>
                <w:sz w:val="21"/>
                <w:szCs w:val="21"/>
              </w:rPr>
              <w:t>脑卒中规范化、快速救治体系及溶栓和取栓技术</w:t>
            </w:r>
          </w:p>
        </w:tc>
        <w:tc>
          <w:tcPr>
            <w:tcW w:w="2985" w:type="dxa"/>
            <w:vMerge w:val="restart"/>
            <w:noWrap w:val="0"/>
            <w:vAlign w:val="center"/>
          </w:tcPr>
          <w:p>
            <w:pPr>
              <w:pStyle w:val="7"/>
              <w:spacing w:before="178" w:line="278" w:lineRule="auto"/>
              <w:ind w:left="108" w:right="233"/>
              <w:jc w:val="center"/>
              <w:rPr>
                <w:rFonts w:hint="eastAsia" w:ascii="宋体" w:hAnsi="宋体" w:eastAsia="宋体" w:cs="宋体"/>
                <w:sz w:val="21"/>
                <w:szCs w:val="21"/>
              </w:rPr>
            </w:pPr>
            <w:r>
              <w:rPr>
                <w:rFonts w:hint="eastAsia" w:ascii="宋体" w:hAnsi="宋体" w:eastAsia="宋体" w:cs="宋体"/>
                <w:sz w:val="21"/>
                <w:szCs w:val="21"/>
              </w:rPr>
              <w:t>对脑卒中患者进行规范化救治</w:t>
            </w: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4"/>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10</w:t>
            </w:r>
          </w:p>
        </w:tc>
        <w:tc>
          <w:tcPr>
            <w:tcW w:w="2670" w:type="dxa"/>
            <w:noWrap w:val="0"/>
            <w:vAlign w:val="center"/>
          </w:tcPr>
          <w:p>
            <w:pPr>
              <w:pStyle w:val="7"/>
              <w:spacing w:before="177"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沈阳医学院附属中心医院</w:t>
            </w:r>
          </w:p>
        </w:tc>
        <w:tc>
          <w:tcPr>
            <w:tcW w:w="1695" w:type="dxa"/>
            <w:vMerge w:val="continue"/>
            <w:noWrap w:val="0"/>
            <w:vAlign w:val="center"/>
          </w:tcPr>
          <w:p>
            <w:pPr>
              <w:pStyle w:val="7"/>
              <w:spacing w:before="21" w:line="278" w:lineRule="auto"/>
              <w:ind w:left="106" w:right="141"/>
              <w:jc w:val="center"/>
              <w:rPr>
                <w:rFonts w:hint="eastAsia" w:ascii="宋体" w:hAnsi="宋体" w:eastAsia="宋体" w:cs="宋体"/>
                <w:sz w:val="21"/>
                <w:szCs w:val="21"/>
              </w:rPr>
            </w:pPr>
          </w:p>
        </w:tc>
        <w:tc>
          <w:tcPr>
            <w:tcW w:w="2985" w:type="dxa"/>
            <w:vMerge w:val="continue"/>
            <w:noWrap w:val="0"/>
            <w:vAlign w:val="center"/>
          </w:tcPr>
          <w:p>
            <w:pPr>
              <w:pStyle w:val="7"/>
              <w:spacing w:before="177" w:line="278" w:lineRule="auto"/>
              <w:ind w:left="108" w:right="233"/>
              <w:jc w:val="center"/>
              <w:rPr>
                <w:rFonts w:hint="eastAsia" w:ascii="宋体" w:hAnsi="宋体" w:eastAsia="宋体" w:cs="宋体"/>
                <w:sz w:val="21"/>
                <w:szCs w:val="21"/>
              </w:rPr>
            </w:pP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3"/>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11</w:t>
            </w:r>
          </w:p>
        </w:tc>
        <w:tc>
          <w:tcPr>
            <w:tcW w:w="2670" w:type="dxa"/>
            <w:noWrap w:val="0"/>
            <w:vAlign w:val="center"/>
          </w:tcPr>
          <w:p>
            <w:pPr>
              <w:pStyle w:val="7"/>
              <w:spacing w:before="177" w:line="278" w:lineRule="auto"/>
              <w:ind w:left="107" w:right="142"/>
              <w:jc w:val="center"/>
              <w:rPr>
                <w:rFonts w:hint="eastAsia" w:ascii="宋体" w:hAnsi="宋体" w:eastAsia="宋体" w:cs="宋体"/>
                <w:sz w:val="21"/>
                <w:szCs w:val="21"/>
              </w:rPr>
            </w:pPr>
            <w:r>
              <w:rPr>
                <w:rFonts w:hint="eastAsia" w:ascii="宋体" w:hAnsi="宋体" w:eastAsia="宋体" w:cs="宋体"/>
                <w:sz w:val="21"/>
                <w:szCs w:val="21"/>
              </w:rPr>
              <w:t>沈阳七三九医院</w:t>
            </w:r>
          </w:p>
        </w:tc>
        <w:tc>
          <w:tcPr>
            <w:tcW w:w="1695" w:type="dxa"/>
            <w:vMerge w:val="continue"/>
            <w:noWrap w:val="0"/>
            <w:vAlign w:val="center"/>
          </w:tcPr>
          <w:p>
            <w:pPr>
              <w:pStyle w:val="7"/>
              <w:spacing w:before="21"/>
              <w:ind w:left="106"/>
              <w:jc w:val="center"/>
              <w:rPr>
                <w:rFonts w:hint="eastAsia" w:ascii="宋体" w:hAnsi="宋体" w:eastAsia="宋体" w:cs="宋体"/>
                <w:sz w:val="21"/>
                <w:szCs w:val="21"/>
              </w:rPr>
            </w:pPr>
          </w:p>
        </w:tc>
        <w:tc>
          <w:tcPr>
            <w:tcW w:w="2985" w:type="dxa"/>
            <w:vMerge w:val="continue"/>
            <w:noWrap w:val="0"/>
            <w:vAlign w:val="center"/>
          </w:tcPr>
          <w:p>
            <w:pPr>
              <w:pStyle w:val="7"/>
              <w:spacing w:before="177" w:line="278" w:lineRule="auto"/>
              <w:ind w:left="108" w:right="233"/>
              <w:jc w:val="center"/>
              <w:rPr>
                <w:rFonts w:hint="eastAsia" w:ascii="宋体" w:hAnsi="宋体" w:eastAsia="宋体" w:cs="宋体"/>
                <w:sz w:val="21"/>
                <w:szCs w:val="21"/>
              </w:rPr>
            </w:pPr>
          </w:p>
        </w:tc>
        <w:tc>
          <w:tcPr>
            <w:tcW w:w="1200" w:type="dxa"/>
            <w:vMerge w:val="continue"/>
            <w:noWrap w:val="0"/>
            <w:vAlign w:val="center"/>
          </w:tcPr>
          <w:p>
            <w:pPr>
              <w:pStyle w:val="7"/>
              <w:spacing w:before="43"/>
              <w:ind w:left="107"/>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60" w:type="dxa"/>
            <w:noWrap w:val="0"/>
            <w:vAlign w:val="center"/>
          </w:tcPr>
          <w:p>
            <w:pPr>
              <w:pStyle w:val="7"/>
              <w:spacing w:before="3"/>
              <w:ind w:left="107" w:lef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12</w:t>
            </w:r>
          </w:p>
        </w:tc>
        <w:tc>
          <w:tcPr>
            <w:tcW w:w="2670" w:type="dxa"/>
            <w:noWrap w:val="0"/>
            <w:vAlign w:val="center"/>
          </w:tcPr>
          <w:p>
            <w:pPr>
              <w:pStyle w:val="7"/>
              <w:spacing w:before="177" w:line="278" w:lineRule="auto"/>
              <w:ind w:left="107" w:leftChars="0" w:right="142" w:rightChars="0"/>
              <w:jc w:val="center"/>
              <w:rPr>
                <w:rFonts w:hint="eastAsia" w:ascii="宋体" w:hAnsi="宋体" w:eastAsia="宋体" w:cs="宋体"/>
                <w:kern w:val="2"/>
                <w:sz w:val="21"/>
                <w:szCs w:val="21"/>
                <w:lang w:val="zh-CN" w:eastAsia="zh-CN" w:bidi="zh-CN"/>
              </w:rPr>
            </w:pPr>
            <w:r>
              <w:rPr>
                <w:rFonts w:hint="eastAsia" w:ascii="宋体" w:hAnsi="宋体" w:eastAsia="宋体" w:cs="宋体"/>
                <w:sz w:val="21"/>
                <w:szCs w:val="21"/>
              </w:rPr>
              <w:t>辽阳县中心医院</w:t>
            </w:r>
          </w:p>
        </w:tc>
        <w:tc>
          <w:tcPr>
            <w:tcW w:w="1695" w:type="dxa"/>
            <w:vMerge w:val="continue"/>
            <w:noWrap w:val="0"/>
            <w:vAlign w:val="center"/>
          </w:tcPr>
          <w:p>
            <w:pPr>
              <w:pStyle w:val="7"/>
              <w:spacing w:before="21"/>
              <w:ind w:left="106" w:leftChars="0"/>
              <w:jc w:val="center"/>
              <w:rPr>
                <w:rFonts w:hint="eastAsia" w:ascii="宋体" w:hAnsi="宋体" w:eastAsia="宋体" w:cs="宋体"/>
                <w:kern w:val="2"/>
                <w:sz w:val="21"/>
                <w:szCs w:val="21"/>
                <w:lang w:val="zh-CN" w:eastAsia="zh-CN" w:bidi="zh-CN"/>
              </w:rPr>
            </w:pPr>
          </w:p>
        </w:tc>
        <w:tc>
          <w:tcPr>
            <w:tcW w:w="2985" w:type="dxa"/>
            <w:vMerge w:val="continue"/>
            <w:noWrap w:val="0"/>
            <w:vAlign w:val="center"/>
          </w:tcPr>
          <w:p>
            <w:pPr>
              <w:pStyle w:val="7"/>
              <w:spacing w:before="177" w:line="278" w:lineRule="auto"/>
              <w:ind w:left="108" w:leftChars="0" w:right="233" w:rightChars="0"/>
              <w:jc w:val="center"/>
              <w:rPr>
                <w:rFonts w:hint="eastAsia" w:ascii="宋体" w:hAnsi="宋体" w:eastAsia="宋体" w:cs="宋体"/>
                <w:kern w:val="2"/>
                <w:sz w:val="21"/>
                <w:szCs w:val="21"/>
                <w:lang w:val="zh-CN" w:eastAsia="zh-CN" w:bidi="zh-CN"/>
              </w:rPr>
            </w:pPr>
          </w:p>
        </w:tc>
        <w:tc>
          <w:tcPr>
            <w:tcW w:w="1200" w:type="dxa"/>
            <w:vMerge w:val="continue"/>
            <w:noWrap w:val="0"/>
            <w:vAlign w:val="center"/>
          </w:tcPr>
          <w:p>
            <w:pPr>
              <w:pStyle w:val="7"/>
              <w:spacing w:before="43"/>
              <w:ind w:left="107" w:leftChars="0"/>
              <w:jc w:val="center"/>
              <w:rPr>
                <w:rFonts w:hint="eastAsia" w:ascii="宋体" w:hAnsi="宋体" w:eastAsia="宋体" w:cs="宋体"/>
                <w:kern w:val="2"/>
                <w:sz w:val="21"/>
                <w:szCs w:val="21"/>
                <w:lang w:val="zh-CN" w:eastAsia="zh-CN" w:bidi="zh-CN"/>
              </w:rPr>
            </w:pPr>
          </w:p>
        </w:tc>
      </w:tr>
    </w:tbl>
    <w:p>
      <w:pPr>
        <w:pStyle w:val="2"/>
        <w:spacing w:line="390" w:lineRule="exact"/>
        <w:ind w:firstLine="0" w:firstLineChars="0"/>
        <w:jc w:val="left"/>
        <w:outlineLvl w:val="1"/>
        <w:rPr>
          <w:rFonts w:hint="eastAsia" w:ascii="仿宋" w:hAnsi="仿宋" w:eastAsia="仿宋" w:cs="仿宋"/>
          <w:b/>
          <w:bCs/>
          <w:sz w:val="32"/>
          <w:szCs w:val="32"/>
          <w:lang w:val="en-US" w:eastAsia="zh-CN"/>
        </w:rPr>
      </w:pPr>
      <w:bookmarkStart w:id="0" w:name="_Hlk75954264"/>
    </w:p>
    <w:p>
      <w:pPr>
        <w:pStyle w:val="2"/>
        <w:spacing w:line="390" w:lineRule="exact"/>
        <w:ind w:firstLine="0" w:firstLineChars="0"/>
        <w:jc w:val="left"/>
        <w:outlineLvl w:val="1"/>
        <w:rPr>
          <w:rFonts w:hint="eastAsia" w:ascii="仿宋" w:hAnsi="仿宋" w:eastAsia="仿宋" w:cs="仿宋"/>
          <w:b/>
          <w:bCs/>
          <w:sz w:val="32"/>
          <w:szCs w:val="32"/>
          <w:lang w:val="en-US" w:eastAsia="zh-CN"/>
        </w:rPr>
      </w:pPr>
    </w:p>
    <w:p>
      <w:pPr>
        <w:pStyle w:val="2"/>
        <w:spacing w:line="390" w:lineRule="exact"/>
        <w:ind w:firstLine="0" w:firstLineChars="0"/>
        <w:jc w:val="left"/>
        <w:outlineLvl w:val="1"/>
        <w:rPr>
          <w:rFonts w:hint="eastAsia" w:ascii="仿宋" w:hAnsi="仿宋" w:eastAsia="仿宋" w:cs="仿宋"/>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候选项目2：</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医疗机构信用信息推送机制的建立及在新冠疫情防控中的应用研究</w:t>
      </w:r>
      <w:bookmarkEnd w:id="0"/>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一、主要完成单位：</w:t>
      </w:r>
      <w:r>
        <w:rPr>
          <w:rFonts w:hint="eastAsia" w:ascii="仿宋" w:hAnsi="仿宋" w:eastAsia="仿宋" w:cs="仿宋"/>
          <w:sz w:val="32"/>
          <w:szCs w:val="32"/>
          <w:lang w:val="en-US" w:eastAsia="zh-CN"/>
        </w:rPr>
        <w:t>辽宁省卫生健康监督中心、辽宁省肿瘤医院、辽宁省人民医院</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二、主要完成人：</w:t>
      </w:r>
      <w:r>
        <w:rPr>
          <w:rFonts w:hint="eastAsia" w:ascii="仿宋" w:hAnsi="仿宋" w:eastAsia="仿宋" w:cs="仿宋"/>
          <w:sz w:val="32"/>
          <w:szCs w:val="32"/>
          <w:lang w:val="en-US" w:eastAsia="zh-CN"/>
        </w:rPr>
        <w:t>席荔梅、孙宇、李刚、毕志英、姚晓捷、关露超、秦子涵、朱芳</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color w:val="0D0D0D"/>
          <w:kern w:val="0"/>
          <w:sz w:val="32"/>
          <w:szCs w:val="32"/>
          <w:lang w:val="en-US" w:eastAsia="zh-CN" w:bidi="ar"/>
        </w:rPr>
        <w:t>提名奖项及等级</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省科技进步二等奖</w:t>
      </w:r>
    </w:p>
    <w:p>
      <w:pPr>
        <w:widowControl w:val="0"/>
        <w:spacing w:line="360" w:lineRule="auto"/>
        <w:ind w:left="0" w:leftChars="0" w:firstLine="643" w:firstLineChars="200"/>
        <w:jc w:val="both"/>
        <w:outlineLvl w:val="1"/>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四、项目简介：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bookmarkStart w:id="1" w:name="_Hlk75868941"/>
      <w:bookmarkStart w:id="2" w:name="_Hlk75877396"/>
      <w:r>
        <w:rPr>
          <w:rFonts w:hint="eastAsia" w:ascii="仿宋" w:hAnsi="仿宋" w:eastAsia="仿宋" w:cs="仿宋"/>
          <w:sz w:val="32"/>
          <w:szCs w:val="32"/>
        </w:rPr>
        <w:t>《</w:t>
      </w:r>
      <w:bookmarkEnd w:id="1"/>
      <w:r>
        <w:rPr>
          <w:rFonts w:hint="eastAsia" w:ascii="仿宋" w:hAnsi="仿宋" w:eastAsia="仿宋" w:cs="仿宋"/>
          <w:sz w:val="32"/>
          <w:szCs w:val="32"/>
        </w:rPr>
        <w:t>医疗机构信用信息推送机制的建立及在新冠疫情防控中的应用研究》科研</w:t>
      </w:r>
      <w:bookmarkEnd w:id="2"/>
      <w:r>
        <w:rPr>
          <w:rFonts w:hint="eastAsia" w:ascii="仿宋" w:hAnsi="仿宋" w:eastAsia="仿宋" w:cs="仿宋"/>
          <w:sz w:val="32"/>
          <w:szCs w:val="32"/>
        </w:rPr>
        <w:t>项目属于预防医学领域的应用技术成果。</w:t>
      </w:r>
      <w:bookmarkStart w:id="3" w:name="_Hlk76546821"/>
      <w:r>
        <w:rPr>
          <w:rFonts w:hint="eastAsia" w:ascii="仿宋" w:hAnsi="仿宋" w:eastAsia="仿宋" w:cs="仿宋"/>
          <w:sz w:val="32"/>
          <w:szCs w:val="32"/>
        </w:rPr>
        <w:t>基于底线监管思维，遵循依法、客观必要的行政法原则，归集医疗机构的信用信息，评估其信用状况，采取差异化监管措施，确保疫情防控措施落实到位，有效控制疫情。</w:t>
      </w:r>
      <w:bookmarkEnd w:id="3"/>
      <w:r>
        <w:rPr>
          <w:rFonts w:hint="eastAsia" w:ascii="仿宋" w:hAnsi="仿宋" w:eastAsia="仿宋" w:cs="仿宋"/>
          <w:sz w:val="32"/>
          <w:szCs w:val="32"/>
        </w:rPr>
        <w:t>筛选、归集医疗机构为确保传染病疫情防控必须完成的各种疫情防控措施等落实情况的信用信息，重点抓取违法、违规及日常监督检查信息。成功搭建了省级卫生信用信息管理平台，并实现了与国家卫生信用信息管理平台及试点医院院内系统的上下顺利对接。结合我省实际情况制定医疗机构传染病防治监督信用评价规则及标准。依托卫生监督信息报告系统及信用信息平台系统，运用大数据抓取医疗机构告知承诺履行信息、行政处罚及其履行信息、社会监督信息和传染病监督检查综合评价信息，建立信用档案。自动动态评估各级各类医疗机构的信用状况。根据信用评价结果，制定差异化监管措施，分级分类实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、主要科技创新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以“信用+综合监管”为基础，利用“互联网+”信息技术与卫生监督有机融合，基于VPN网络与相关系统，筛选、归集医疗机构为确保控制传染病疫情必须完成的各种疫情防控措施等落实情况的信用信息78大项，医疗机构告知承诺履行信息、机构自查相关信息、行政处罚及其履行信息、</w:t>
      </w:r>
      <w:bookmarkStart w:id="4" w:name="_Hlk76214128"/>
      <w:r>
        <w:rPr>
          <w:rFonts w:hint="eastAsia" w:ascii="仿宋" w:hAnsi="仿宋" w:eastAsia="仿宋" w:cs="仿宋"/>
          <w:sz w:val="32"/>
          <w:szCs w:val="32"/>
        </w:rPr>
        <w:t>社会监督信息</w:t>
      </w:r>
      <w:bookmarkEnd w:id="4"/>
      <w:r>
        <w:rPr>
          <w:rFonts w:hint="eastAsia" w:ascii="仿宋" w:hAnsi="仿宋" w:eastAsia="仿宋" w:cs="仿宋"/>
          <w:sz w:val="32"/>
          <w:szCs w:val="32"/>
        </w:rPr>
        <w:t>等6大项，建立医疗机构传染病防治监督信用信息推送及评价模型，通过卫生信用信息管理平台动态评估医疗机构传染病疫情防控措施落实情况的信用等级，制定差异化监管措施，实现对医疗机构分级分类监督，提高医疗机构传染病防控风险管控能力，形成以医疗机构信用档案为纽带的多元监管，实现监管事项清单化、监管过程电子化、监管记录连续化、信用评价动态化、监管预警智能化的差异化监管措施新机制，</w:t>
      </w:r>
      <w:bookmarkStart w:id="5" w:name="_Hlk75874363"/>
      <w:r>
        <w:rPr>
          <w:rFonts w:hint="eastAsia" w:ascii="仿宋" w:hAnsi="仿宋" w:eastAsia="仿宋" w:cs="仿宋"/>
          <w:sz w:val="32"/>
          <w:szCs w:val="32"/>
        </w:rPr>
        <w:t>提高卫生监督执法效能，推动以信用为基础的新型监管机制在卫生健康领域落地实践。</w:t>
      </w:r>
    </w:p>
    <w:bookmarkEnd w:id="5"/>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SA"/>
        </w:rPr>
        <w:t>六、</w:t>
      </w:r>
      <w:r>
        <w:rPr>
          <w:rFonts w:hint="eastAsia" w:ascii="仿宋" w:hAnsi="仿宋" w:eastAsia="仿宋" w:cs="仿宋"/>
          <w:b/>
          <w:bCs w:val="0"/>
          <w:sz w:val="32"/>
          <w:szCs w:val="32"/>
        </w:rPr>
        <w:t>推广应用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该项目2016年开始启动实施，2018年逐步铺开，形成了以医疗机构 信用档案为纽带的多元监管无缝嵌入，实现监管事项清单化、监管过程电子化、监管记录连续化、信用评价动态化、监管预警智能化、监管结果公开化，达到事前提醒、事中告诫、事后审核、大数据分析评估、差异化监管措施的新型监管机制。医疗机构传染病防控监督行政处罚案件和采取行政强制措施数量2017年、2018年、</w:t>
      </w:r>
      <w:bookmarkStart w:id="6" w:name="_Hlk76391562"/>
      <w:r>
        <w:rPr>
          <w:rFonts w:hint="eastAsia" w:ascii="仿宋" w:hAnsi="仿宋" w:eastAsia="仿宋" w:cs="仿宋"/>
          <w:sz w:val="32"/>
          <w:szCs w:val="32"/>
        </w:rPr>
        <w:t>2019年</w:t>
      </w:r>
      <w:bookmarkEnd w:id="6"/>
      <w:r>
        <w:rPr>
          <w:rFonts w:hint="eastAsia" w:ascii="仿宋" w:hAnsi="仿宋" w:eastAsia="仿宋" w:cs="仿宋"/>
          <w:sz w:val="32"/>
          <w:szCs w:val="32"/>
        </w:rPr>
        <w:t>分别为700件、1064件、2525件，呈明显上升趋势</w:t>
      </w:r>
      <w:r>
        <w:rPr>
          <w:rFonts w:hint="eastAsia" w:ascii="仿宋" w:hAnsi="仿宋" w:eastAsia="仿宋" w:cs="仿宋"/>
          <w:sz w:val="32"/>
          <w:szCs w:val="32"/>
          <w:lang w:eastAsia="zh-CN"/>
        </w:rPr>
        <w:t>。</w:t>
      </w:r>
      <w:r>
        <w:rPr>
          <w:rFonts w:hint="eastAsia" w:ascii="仿宋" w:hAnsi="仿宋" w:eastAsia="仿宋" w:cs="仿宋"/>
          <w:sz w:val="32"/>
          <w:szCs w:val="32"/>
        </w:rPr>
        <w:t>2017年开展医疗废物、生物安全、医疗美容、就医安全、计划生育、母婴保健、场所卫生蓝盾</w:t>
      </w:r>
      <w:bookmarkStart w:id="7" w:name="_Hlk76369744"/>
      <w:r>
        <w:rPr>
          <w:rFonts w:hint="eastAsia" w:ascii="仿宋" w:hAnsi="仿宋" w:eastAsia="仿宋" w:cs="仿宋"/>
          <w:sz w:val="32"/>
          <w:szCs w:val="32"/>
        </w:rPr>
        <w:t>系列等七个行动，共监督检查74567户、处罚1135户、罚款275.7万元 ；</w:t>
      </w:r>
      <w:bookmarkEnd w:id="7"/>
      <w:r>
        <w:rPr>
          <w:rFonts w:hint="eastAsia" w:ascii="仿宋" w:hAnsi="仿宋" w:eastAsia="仿宋" w:cs="仿宋"/>
          <w:sz w:val="32"/>
          <w:szCs w:val="32"/>
        </w:rPr>
        <w:t>2018年开展了中医诊疗、医疗废物、百姓就医、母婴保健、学生健康、场所卫生、饮水安全等</w:t>
      </w:r>
      <w:bookmarkStart w:id="8" w:name="_Hlk76370868"/>
      <w:r>
        <w:rPr>
          <w:rFonts w:hint="eastAsia" w:ascii="仿宋" w:hAnsi="仿宋" w:eastAsia="仿宋" w:cs="仿宋"/>
          <w:sz w:val="32"/>
          <w:szCs w:val="32"/>
        </w:rPr>
        <w:t>蓝盾</w:t>
      </w:r>
      <w:bookmarkEnd w:id="8"/>
      <w:r>
        <w:rPr>
          <w:rFonts w:hint="eastAsia" w:ascii="仿宋" w:hAnsi="仿宋" w:eastAsia="仿宋" w:cs="仿宋"/>
          <w:sz w:val="32"/>
          <w:szCs w:val="32"/>
        </w:rPr>
        <w:t>系列等七个行动，共监督检查72901户、案件查处1009件、罚款349.1万元；2019年开展了消毒产品、中医诊疗、百姓就医、学生视力、住宿卫生等蓝盾系列五大行动，共监督检查49820户、处罚1480户、</w:t>
      </w:r>
      <w:bookmarkStart w:id="9" w:name="_Hlk76371502"/>
      <w:r>
        <w:rPr>
          <w:rFonts w:hint="eastAsia" w:ascii="仿宋" w:hAnsi="仿宋" w:eastAsia="仿宋" w:cs="仿宋"/>
          <w:sz w:val="32"/>
          <w:szCs w:val="32"/>
        </w:rPr>
        <w:t>案件查处</w:t>
      </w:r>
      <w:bookmarkEnd w:id="9"/>
      <w:r>
        <w:rPr>
          <w:rFonts w:hint="eastAsia" w:ascii="仿宋" w:hAnsi="仿宋" w:eastAsia="仿宋" w:cs="仿宋"/>
          <w:sz w:val="32"/>
          <w:szCs w:val="32"/>
        </w:rPr>
        <w:t>1630件、罚款360.9万元。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在新冠疫情防控过程中，</w:t>
      </w:r>
      <w:bookmarkStart w:id="10" w:name="_Hlk76545433"/>
      <w:r>
        <w:rPr>
          <w:rFonts w:hint="eastAsia" w:ascii="仿宋" w:hAnsi="仿宋" w:eastAsia="仿宋" w:cs="仿宋"/>
          <w:sz w:val="32"/>
          <w:szCs w:val="32"/>
        </w:rPr>
        <w:t>依据近年来各级各类医疗机构传染病卫生监督信用评价结果的动态变化，针对全省各级各类医疗机构新冠疫情防控中存在的薄弱环节，突出不同时期的重点监督检查内容及环节，提出医疗机构新冠疫情报告、院感控制（包括预检分诊点和发热门诊建设）消毒隔离、医疗废物处置、病原微生物实验室生物安全管理监督检查五项专项整治建议，并制订了应对新冠监督检查综合评价表。</w:t>
      </w:r>
      <w:bookmarkEnd w:id="10"/>
      <w:bookmarkStart w:id="11" w:name="_Hlk76546237"/>
      <w:r>
        <w:rPr>
          <w:rFonts w:hint="eastAsia" w:ascii="仿宋" w:hAnsi="仿宋" w:eastAsia="仿宋" w:cs="仿宋"/>
          <w:sz w:val="32"/>
          <w:szCs w:val="32"/>
        </w:rPr>
        <w:t>组织实施了全省院感控制、消毒专项、健康产业、隔离医学观察场所、百姓就医、医疗美容、中医诊疗、爱国卫生、学校卫生、农村饮水等十大“抗击新冠肺炎疫情 蓝盾系列专项行动”。共监督检查64726户次、对736户进行了罚款，共444.9万。</w:t>
      </w:r>
    </w:p>
    <w:bookmarkEnd w:id="11"/>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主要应用单位情况表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649"/>
        <w:gridCol w:w="1747"/>
        <w:gridCol w:w="140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26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单位名称</w:t>
            </w:r>
          </w:p>
        </w:tc>
        <w:tc>
          <w:tcPr>
            <w:tcW w:w="17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应用技术</w:t>
            </w:r>
          </w:p>
        </w:tc>
        <w:tc>
          <w:tcPr>
            <w:tcW w:w="14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应用对象及规模</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应用起止时间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264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朝阳市卫生健康监督中心</w:t>
            </w:r>
          </w:p>
        </w:tc>
        <w:tc>
          <w:tcPr>
            <w:tcW w:w="17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应用医疗机构信用信息推送机制，实施卫生监督差异化监管</w:t>
            </w:r>
          </w:p>
        </w:tc>
        <w:tc>
          <w:tcPr>
            <w:tcW w:w="14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全市医疗机构</w:t>
            </w:r>
          </w:p>
        </w:tc>
        <w:tc>
          <w:tcPr>
            <w:tcW w:w="18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2017</w:t>
            </w:r>
            <w:r>
              <w:rPr>
                <w:rFonts w:hint="eastAsia" w:ascii="仿宋" w:hAnsi="仿宋" w:eastAsia="仿宋" w:cs="仿宋"/>
                <w:sz w:val="21"/>
                <w:szCs w:val="21"/>
                <w:lang w:val="en-US" w:eastAsia="zh-CN"/>
              </w:rPr>
              <w:t>.1</w:t>
            </w:r>
            <w:r>
              <w:rPr>
                <w:rFonts w:hint="eastAsia" w:ascii="仿宋" w:hAnsi="仿宋" w:eastAsia="仿宋" w:cs="仿宋"/>
                <w:sz w:val="21"/>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264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锦州市卫生健康监督中心</w:t>
            </w:r>
          </w:p>
        </w:tc>
        <w:tc>
          <w:tcPr>
            <w:tcW w:w="17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140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18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264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沈阳市卫生健康监督中心</w:t>
            </w:r>
          </w:p>
        </w:tc>
        <w:tc>
          <w:tcPr>
            <w:tcW w:w="17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140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18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264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本溪市卫生健康监督中心</w:t>
            </w:r>
          </w:p>
        </w:tc>
        <w:tc>
          <w:tcPr>
            <w:tcW w:w="174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140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tc>
        <w:tc>
          <w:tcPr>
            <w:tcW w:w="18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bl>
    <w:p>
      <w:pPr>
        <w:keepNext w:val="0"/>
        <w:keepLines w:val="0"/>
        <w:widowControl/>
        <w:suppressLineNumbers w:val="0"/>
        <w:ind w:left="1556" w:hanging="1606" w:hangingChars="500"/>
        <w:jc w:val="left"/>
        <w:rPr>
          <w:rFonts w:hint="eastAsia" w:ascii="仿宋" w:hAnsi="仿宋" w:eastAsia="仿宋" w:cs="仿宋"/>
          <w:b/>
          <w:bCs/>
          <w:sz w:val="32"/>
          <w:szCs w:val="32"/>
          <w:lang w:val="en-US" w:eastAsia="zh-CN"/>
        </w:rPr>
      </w:pPr>
    </w:p>
    <w:p>
      <w:pPr>
        <w:keepNext w:val="0"/>
        <w:keepLines w:val="0"/>
        <w:widowControl/>
        <w:suppressLineNumbers w:val="0"/>
        <w:ind w:left="1556" w:hanging="1606" w:hangingChars="5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候选项目3：</w:t>
      </w:r>
    </w:p>
    <w:p>
      <w:pPr>
        <w:keepNext w:val="0"/>
        <w:keepLines w:val="0"/>
        <w:widowControl/>
        <w:suppressLineNumbers w:val="0"/>
        <w:ind w:left="1556" w:hanging="1606" w:hangingChars="5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脊髓损伤无创性影像组学诊断标准的确立与临床应用</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D0D0D"/>
          <w:kern w:val="0"/>
          <w:sz w:val="32"/>
          <w:szCs w:val="32"/>
          <w:lang w:val="en-US" w:eastAsia="zh-CN" w:bidi="ar"/>
        </w:rPr>
        <w:t>一、主要完成单位：</w:t>
      </w:r>
      <w:r>
        <w:rPr>
          <w:rFonts w:hint="eastAsia" w:ascii="仿宋" w:hAnsi="仿宋" w:eastAsia="仿宋" w:cs="仿宋"/>
          <w:color w:val="0D0D0D"/>
          <w:kern w:val="0"/>
          <w:sz w:val="32"/>
          <w:szCs w:val="32"/>
          <w:lang w:val="en-US" w:eastAsia="zh-CN" w:bidi="ar"/>
        </w:rPr>
        <w:t xml:space="preserve">辽宁省人民医院 </w:t>
      </w:r>
    </w:p>
    <w:p>
      <w:pPr>
        <w:keepNext w:val="0"/>
        <w:keepLines w:val="0"/>
        <w:widowControl/>
        <w:suppressLineNumbers w:val="0"/>
        <w:ind w:left="3213" w:leftChars="306" w:hanging="2570" w:hangingChars="800"/>
        <w:jc w:val="left"/>
        <w:rPr>
          <w:rFonts w:hint="eastAsia" w:ascii="仿宋" w:hAnsi="仿宋" w:eastAsia="仿宋" w:cs="仿宋"/>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二、主要完成人：</w:t>
      </w:r>
      <w:r>
        <w:rPr>
          <w:rFonts w:hint="eastAsia" w:ascii="仿宋" w:hAnsi="仿宋" w:eastAsia="仿宋" w:cs="仿宋"/>
          <w:color w:val="0D0D0D"/>
          <w:kern w:val="0"/>
          <w:sz w:val="32"/>
          <w:szCs w:val="32"/>
          <w:lang w:val="en-US" w:eastAsia="zh-CN" w:bidi="ar"/>
        </w:rPr>
        <w:t>李道伟、王楠、闻久全、刘娜、</w:t>
      </w:r>
    </w:p>
    <w:p>
      <w:pPr>
        <w:keepNext w:val="0"/>
        <w:keepLines w:val="0"/>
        <w:widowControl/>
        <w:suppressLineNumbers w:val="0"/>
        <w:jc w:val="left"/>
        <w:rPr>
          <w:rFonts w:hint="eastAsia" w:ascii="仿宋" w:hAnsi="仿宋" w:eastAsia="仿宋" w:cs="仿宋"/>
          <w:kern w:val="2"/>
          <w:sz w:val="32"/>
          <w:szCs w:val="32"/>
        </w:rPr>
      </w:pPr>
      <w:r>
        <w:rPr>
          <w:rFonts w:hint="eastAsia" w:ascii="仿宋" w:hAnsi="仿宋" w:eastAsia="仿宋" w:cs="仿宋"/>
          <w:color w:val="0D0D0D"/>
          <w:kern w:val="0"/>
          <w:sz w:val="32"/>
          <w:szCs w:val="32"/>
          <w:lang w:val="en-US" w:eastAsia="zh-CN" w:bidi="ar"/>
        </w:rPr>
        <w:t>马强、郑恕光</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D0D0D"/>
          <w:kern w:val="0"/>
          <w:sz w:val="32"/>
          <w:szCs w:val="32"/>
          <w:lang w:val="en-US" w:eastAsia="zh-CN" w:bidi="ar"/>
        </w:rPr>
        <w:t>三、提名奖项及等级：</w:t>
      </w:r>
      <w:r>
        <w:rPr>
          <w:rFonts w:hint="eastAsia" w:ascii="仿宋" w:hAnsi="仿宋" w:eastAsia="仿宋" w:cs="仿宋"/>
          <w:color w:val="0D0D0D"/>
          <w:kern w:val="0"/>
          <w:sz w:val="32"/>
          <w:szCs w:val="32"/>
          <w:lang w:val="en-US" w:eastAsia="zh-CN" w:bidi="ar"/>
        </w:rPr>
        <w:t xml:space="preserve">科技进步奖三等奖 </w:t>
      </w:r>
    </w:p>
    <w:p>
      <w:pPr>
        <w:keepNext w:val="0"/>
        <w:keepLines w:val="0"/>
        <w:widowControl/>
        <w:numPr>
          <w:ilvl w:val="0"/>
          <w:numId w:val="0"/>
        </w:numPr>
        <w:suppressLineNumbers w:val="0"/>
        <w:ind w:firstLine="643" w:firstLineChars="200"/>
        <w:jc w:val="both"/>
        <w:rPr>
          <w:rFonts w:hint="eastAsia" w:ascii="仿宋" w:hAnsi="仿宋" w:eastAsia="仿宋" w:cs="仿宋"/>
          <w:b/>
          <w:bCs/>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四、项目简介</w:t>
      </w:r>
    </w:p>
    <w:p>
      <w:pPr>
        <w:keepNext w:val="0"/>
        <w:keepLines w:val="0"/>
        <w:widowControl/>
        <w:suppressLineNumbers w:val="0"/>
        <w:ind w:firstLine="640"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color w:val="000000"/>
          <w:kern w:val="0"/>
          <w:sz w:val="32"/>
          <w:szCs w:val="32"/>
          <w:lang w:val="en-US" w:eastAsia="zh-CN" w:bidi="ar"/>
        </w:rPr>
        <w:t>本研究已经进行了近4年时间，在7项辽宁省自然科学基金项目和4项目沈阳市社会发展科技项目的直接和间接支持下，</w:t>
      </w:r>
      <w:r>
        <w:rPr>
          <w:rFonts w:hint="eastAsia" w:ascii="仿宋" w:hAnsi="仿宋" w:eastAsia="仿宋" w:cs="仿宋"/>
          <w:color w:val="0D0D0D"/>
          <w:kern w:val="0"/>
          <w:sz w:val="32"/>
          <w:szCs w:val="32"/>
          <w:lang w:val="en-US" w:eastAsia="zh-CN" w:bidi="ar"/>
        </w:rPr>
        <w:t>获得以下多项成果：</w:t>
      </w:r>
    </w:p>
    <w:p>
      <w:pPr>
        <w:keepNext w:val="0"/>
        <w:keepLines w:val="0"/>
        <w:widowControl/>
        <w:suppressLineNumbers w:val="0"/>
        <w:ind w:firstLine="640"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color w:val="0D0D0D"/>
          <w:kern w:val="0"/>
          <w:sz w:val="32"/>
          <w:szCs w:val="32"/>
          <w:lang w:val="en-US" w:eastAsia="zh-CN" w:bidi="ar"/>
        </w:rPr>
        <w:t>首次在省内开展了脊髓损伤无创性影像组学的研究与临床应用。建立脊髓损伤相关的预测模型。建立脊髓损伤相关的数据库。建立以磁共振为代表的影像学评价新技术，联合多种影像学技术，对常见脊髓损伤疾病进行早期识别和精准定量分析，建立大样本的影像学分析序列。</w:t>
      </w:r>
    </w:p>
    <w:p>
      <w:pPr>
        <w:keepNext w:val="0"/>
        <w:keepLines w:val="0"/>
        <w:widowControl/>
        <w:suppressLineNumbers w:val="0"/>
        <w:ind w:firstLine="640"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color w:val="0D0D0D"/>
          <w:kern w:val="0"/>
          <w:sz w:val="32"/>
          <w:szCs w:val="32"/>
          <w:lang w:val="en-US" w:eastAsia="zh-CN" w:bidi="ar"/>
        </w:rPr>
        <w:t>本项目由辽宁省人民医院独立完成，通过一系列数据分析及临床研究，并建立具有我省特色的区域化脊髓损伤无创性影像组学诊断标准及临床应用体系。强化我院脊髓损伤患者的系统性管理，影像组学为临床提供了无创性客观的诊疗依据，符合临床诊疗需要，一定程度上减少了一些不要的重复检查，降低了患者的医疗负担。</w:t>
      </w:r>
    </w:p>
    <w:p>
      <w:pPr>
        <w:keepNext w:val="0"/>
        <w:keepLines w:val="0"/>
        <w:widowControl/>
        <w:numPr>
          <w:ilvl w:val="0"/>
          <w:numId w:val="0"/>
        </w:numPr>
        <w:suppressLineNumbers w:val="0"/>
        <w:ind w:firstLine="643" w:firstLineChars="200"/>
        <w:jc w:val="both"/>
        <w:rPr>
          <w:rFonts w:hint="eastAsia" w:ascii="仿宋" w:hAnsi="仿宋" w:eastAsia="仿宋" w:cs="仿宋"/>
          <w:b/>
          <w:bCs/>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五、科技创新</w:t>
      </w:r>
    </w:p>
    <w:p>
      <w:pPr>
        <w:keepNext w:val="0"/>
        <w:keepLines w:val="0"/>
        <w:widowControl/>
        <w:numPr>
          <w:ilvl w:val="0"/>
          <w:numId w:val="0"/>
        </w:numPr>
        <w:suppressLineNumbers w:val="0"/>
        <w:ind w:firstLine="640" w:firstLineChars="200"/>
        <w:jc w:val="both"/>
        <w:rPr>
          <w:rFonts w:hint="eastAsia" w:ascii="仿宋" w:hAnsi="仿宋" w:eastAsia="仿宋" w:cs="仿宋"/>
          <w:color w:val="0D0D0D"/>
          <w:kern w:val="0"/>
          <w:sz w:val="32"/>
          <w:szCs w:val="32"/>
          <w:lang w:val="en-US" w:eastAsia="zh-CN" w:bidi="ar"/>
        </w:rPr>
      </w:pPr>
      <w:r>
        <w:rPr>
          <w:rFonts w:hint="eastAsia" w:ascii="仿宋" w:hAnsi="仿宋" w:eastAsia="仿宋" w:cs="仿宋"/>
          <w:color w:val="0D0D0D"/>
          <w:kern w:val="0"/>
          <w:sz w:val="32"/>
          <w:szCs w:val="32"/>
          <w:lang w:val="en-US" w:eastAsia="zh-CN" w:bidi="ar"/>
        </w:rPr>
        <w:t>国内提出完善的脊髓损伤无创性影像组学诊断方法，指导个体化的综合治疗，提出脊髓损伤检查新参数指标，显示出显著的预后评估优势，为早期评估损伤程度提供依据，指导了临床个体化综合治疗。为提供脊髓损伤的 MRI 检查提供基础部分证据。探索脊髓损伤无创性影像组学临床应用体系，并进行早期干预性研究，改善我省县级医疗机构脊髓损伤的救治水平准，对脊髓损伤程度分级、分期，并进行准确的半定量评估；通过机器学习的数据分析方法，对现有疾病数据进行有效的分析，发现其中的规律，及与损伤程度发生发展、预后密切相关的分子标志，使得脊髓损伤患者复发和二次手术率的减低提供了新依据。为脊髓损伤患者的个体化治疗提供了新思路。</w:t>
      </w:r>
    </w:p>
    <w:p>
      <w:pPr>
        <w:keepNext w:val="0"/>
        <w:keepLines w:val="0"/>
        <w:widowControl/>
        <w:numPr>
          <w:ilvl w:val="0"/>
          <w:numId w:val="0"/>
        </w:numPr>
        <w:suppressLineNumbers w:val="0"/>
        <w:ind w:firstLine="643" w:firstLineChars="200"/>
        <w:jc w:val="both"/>
        <w:rPr>
          <w:rFonts w:hint="eastAsia" w:ascii="仿宋" w:hAnsi="仿宋" w:eastAsia="仿宋" w:cs="仿宋"/>
          <w:b/>
          <w:bCs/>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 xml:space="preserve">六、推广应用情况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在省内十余家医院中推广应用，数百名患者获益。开展了多模态下建立机器学习模型评估脊髓损伤的研发与创新，实现影像组学无创诊断脊髓损伤并指导治疗关键技术的创新与突破，并申请1项专利。共发表论著 59篇，其中 SCI 收录论著 15 篇，累计影响因子 34.513，中文科 技核心期刊 44 篇，培养硕士研究生8名，出版专著 1 部，团队每年组织召开培训讲座及学术会议 2-3次，取得了显著的社会效益。截至到 2020年12月底，具有代表性的3 家医院见下表所示。</w:t>
      </w:r>
    </w:p>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主要应用单位情况表</w:t>
      </w:r>
    </w:p>
    <w:tbl>
      <w:tblPr>
        <w:tblStyle w:val="4"/>
        <w:tblW w:w="9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09"/>
        <w:gridCol w:w="2092"/>
        <w:gridCol w:w="2515"/>
        <w:gridCol w:w="1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96" w:type="dxa"/>
            <w:tcBorders>
              <w:top w:val="single" w:color="auto" w:sz="8" w:space="0"/>
            </w:tcBorders>
            <w:noWrap w:val="0"/>
            <w:vAlign w:val="center"/>
          </w:tcPr>
          <w:p>
            <w:pPr>
              <w:pStyle w:val="2"/>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序号</w:t>
            </w:r>
          </w:p>
        </w:tc>
        <w:tc>
          <w:tcPr>
            <w:tcW w:w="2209" w:type="dxa"/>
            <w:tcBorders>
              <w:top w:val="single" w:color="auto" w:sz="8" w:space="0"/>
            </w:tcBorders>
            <w:noWrap w:val="0"/>
            <w:vAlign w:val="center"/>
          </w:tcPr>
          <w:p>
            <w:pPr>
              <w:pStyle w:val="2"/>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单位名称</w:t>
            </w:r>
          </w:p>
        </w:tc>
        <w:tc>
          <w:tcPr>
            <w:tcW w:w="2092" w:type="dxa"/>
            <w:tcBorders>
              <w:top w:val="single" w:color="auto" w:sz="8" w:space="0"/>
            </w:tcBorders>
            <w:noWrap w:val="0"/>
            <w:vAlign w:val="center"/>
          </w:tcPr>
          <w:p>
            <w:pPr>
              <w:pStyle w:val="2"/>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应用的技术</w:t>
            </w:r>
          </w:p>
        </w:tc>
        <w:tc>
          <w:tcPr>
            <w:tcW w:w="2515" w:type="dxa"/>
            <w:tcBorders>
              <w:top w:val="single" w:color="auto" w:sz="8" w:space="0"/>
            </w:tcBorders>
            <w:noWrap w:val="0"/>
            <w:vAlign w:val="center"/>
          </w:tcPr>
          <w:p>
            <w:pPr>
              <w:pStyle w:val="2"/>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应用对象及规模</w:t>
            </w:r>
          </w:p>
        </w:tc>
        <w:tc>
          <w:tcPr>
            <w:tcW w:w="1666" w:type="dxa"/>
            <w:tcBorders>
              <w:top w:val="single" w:color="auto" w:sz="8" w:space="0"/>
            </w:tcBorders>
            <w:noWrap w:val="0"/>
            <w:vAlign w:val="center"/>
          </w:tcPr>
          <w:p>
            <w:pPr>
              <w:pStyle w:val="2"/>
              <w:spacing w:line="39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应用起止时间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96"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09"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辽宁省金秋医院</w:t>
            </w:r>
          </w:p>
        </w:tc>
        <w:tc>
          <w:tcPr>
            <w:tcW w:w="2092" w:type="dxa"/>
            <w:vMerge w:val="restart"/>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脊髓损伤无创性影像组学诊断标准的确立与临床应用</w:t>
            </w:r>
          </w:p>
        </w:tc>
        <w:tc>
          <w:tcPr>
            <w:tcW w:w="2515" w:type="dxa"/>
            <w:vMerge w:val="restart"/>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开展影像组学的脊髓损伤研究，参与完善我省数据库建设</w:t>
            </w:r>
          </w:p>
        </w:tc>
        <w:tc>
          <w:tcPr>
            <w:tcW w:w="1666"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2018.9至今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6"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09"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绥中县医院</w:t>
            </w:r>
          </w:p>
        </w:tc>
        <w:tc>
          <w:tcPr>
            <w:tcW w:w="2092" w:type="dxa"/>
            <w:vMerge w:val="continue"/>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p>
        </w:tc>
        <w:tc>
          <w:tcPr>
            <w:tcW w:w="2515" w:type="dxa"/>
            <w:vMerge w:val="continue"/>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p>
        </w:tc>
        <w:tc>
          <w:tcPr>
            <w:tcW w:w="1666"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2018.12至今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96"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09" w:type="dxa"/>
            <w:noWrap w:val="0"/>
            <w:vAlign w:val="center"/>
          </w:tcPr>
          <w:p>
            <w:pPr>
              <w:spacing w:line="500" w:lineRule="exact"/>
              <w:ind w:left="46" w:leftChars="22"/>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桓仁满族自治县人民医院</w:t>
            </w:r>
          </w:p>
        </w:tc>
        <w:tc>
          <w:tcPr>
            <w:tcW w:w="2092" w:type="dxa"/>
            <w:vMerge w:val="continue"/>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p>
        </w:tc>
        <w:tc>
          <w:tcPr>
            <w:tcW w:w="2515" w:type="dxa"/>
            <w:vMerge w:val="continue"/>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p>
        </w:tc>
        <w:tc>
          <w:tcPr>
            <w:tcW w:w="1666" w:type="dxa"/>
            <w:noWrap w:val="0"/>
            <w:vAlign w:val="center"/>
          </w:tcPr>
          <w:p>
            <w:pPr>
              <w:pStyle w:val="2"/>
              <w:spacing w:line="390" w:lineRule="exact"/>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2018.11至今</w:t>
            </w:r>
          </w:p>
        </w:tc>
      </w:tr>
    </w:tbl>
    <w:p>
      <w:pPr>
        <w:keepNext w:val="0"/>
        <w:keepLines w:val="0"/>
        <w:widowControl/>
        <w:suppressLineNumbers w:val="0"/>
        <w:jc w:val="left"/>
        <w:rPr>
          <w:rFonts w:hint="eastAsia" w:ascii="仿宋" w:hAnsi="仿宋" w:eastAsia="仿宋" w:cs="仿宋"/>
          <w:b/>
          <w:bCs/>
          <w:sz w:val="32"/>
          <w:szCs w:val="32"/>
          <w:lang w:val="en-US" w:eastAsia="zh-CN"/>
        </w:rPr>
      </w:pPr>
    </w:p>
    <w:p>
      <w:pPr>
        <w:keepNext w:val="0"/>
        <w:keepLines w:val="0"/>
        <w:widowControl/>
        <w:suppressLineNumbers w:val="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候选项目4：</w:t>
      </w:r>
    </w:p>
    <w:p>
      <w:pPr>
        <w:keepNext w:val="0"/>
        <w:keepLines w:val="0"/>
        <w:widowControl/>
        <w:suppressLineNumbers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肺癌精准个体化治疗的转化医学基础与临床研究</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D0D0D"/>
          <w:kern w:val="0"/>
          <w:sz w:val="32"/>
          <w:szCs w:val="32"/>
          <w:lang w:val="en-US" w:eastAsia="zh-CN" w:bidi="ar"/>
        </w:rPr>
        <w:t>一、主要完成单位：</w:t>
      </w:r>
      <w:r>
        <w:rPr>
          <w:rFonts w:hint="eastAsia" w:ascii="仿宋" w:hAnsi="仿宋" w:eastAsia="仿宋" w:cs="仿宋"/>
          <w:color w:val="0D0D0D"/>
          <w:kern w:val="0"/>
          <w:sz w:val="32"/>
          <w:szCs w:val="32"/>
          <w:lang w:val="en-US" w:eastAsia="zh-CN" w:bidi="ar"/>
        </w:rPr>
        <w:t xml:space="preserve">辽宁省肿瘤医院、中国医科大学盛京医院、沈阳市胸科医院 </w:t>
      </w:r>
    </w:p>
    <w:p>
      <w:pPr>
        <w:keepNext w:val="0"/>
        <w:keepLines w:val="0"/>
        <w:widowControl/>
        <w:suppressLineNumbers w:val="0"/>
        <w:ind w:firstLine="643"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二、主要完成人：</w:t>
      </w:r>
      <w:r>
        <w:rPr>
          <w:rFonts w:hint="eastAsia" w:ascii="仿宋" w:hAnsi="仿宋" w:eastAsia="仿宋" w:cs="仿宋"/>
          <w:color w:val="0D0D0D"/>
          <w:kern w:val="0"/>
          <w:sz w:val="32"/>
          <w:szCs w:val="32"/>
          <w:lang w:val="en-US" w:eastAsia="zh-CN" w:bidi="ar"/>
        </w:rPr>
        <w:t>李晓玲、刘永煜、马洁韬、陈舒晨、刘斌、郑建、唐域</w:t>
      </w:r>
    </w:p>
    <w:p>
      <w:pPr>
        <w:keepNext w:val="0"/>
        <w:keepLines w:val="0"/>
        <w:widowControl/>
        <w:suppressLineNumbers w:val="0"/>
        <w:ind w:firstLine="643" w:firstLineChars="200"/>
        <w:jc w:val="left"/>
        <w:rPr>
          <w:rFonts w:hint="eastAsia" w:ascii="仿宋" w:hAnsi="仿宋" w:eastAsia="仿宋" w:cs="仿宋"/>
          <w:sz w:val="32"/>
          <w:szCs w:val="32"/>
        </w:rPr>
      </w:pPr>
      <w:bookmarkStart w:id="12" w:name="_GoBack"/>
      <w:bookmarkEnd w:id="12"/>
      <w:r>
        <w:rPr>
          <w:rFonts w:hint="eastAsia" w:ascii="仿宋" w:hAnsi="仿宋" w:eastAsia="仿宋" w:cs="仿宋"/>
          <w:b/>
          <w:bCs/>
          <w:color w:val="0D0D0D"/>
          <w:kern w:val="0"/>
          <w:sz w:val="32"/>
          <w:szCs w:val="32"/>
          <w:lang w:val="en-US" w:eastAsia="zh-CN" w:bidi="ar"/>
        </w:rPr>
        <w:t>三、提名奖项及等级：</w:t>
      </w:r>
      <w:r>
        <w:rPr>
          <w:rFonts w:hint="eastAsia" w:ascii="仿宋" w:hAnsi="仿宋" w:eastAsia="仿宋" w:cs="仿宋"/>
          <w:color w:val="0D0D0D"/>
          <w:kern w:val="0"/>
          <w:sz w:val="32"/>
          <w:szCs w:val="32"/>
          <w:lang w:val="en-US" w:eastAsia="zh-CN" w:bidi="ar"/>
        </w:rPr>
        <w:t xml:space="preserve">科技进步奖三等奖 </w:t>
      </w:r>
    </w:p>
    <w:p>
      <w:pPr>
        <w:keepNext w:val="0"/>
        <w:keepLines w:val="0"/>
        <w:widowControl/>
        <w:suppressLineNumbers w:val="0"/>
        <w:ind w:firstLine="643" w:firstLineChars="200"/>
        <w:jc w:val="left"/>
        <w:rPr>
          <w:rFonts w:hint="eastAsia" w:ascii="仿宋" w:hAnsi="仿宋" w:eastAsia="仿宋" w:cs="仿宋"/>
          <w:b/>
          <w:bCs/>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四、项目简介</w:t>
      </w:r>
    </w:p>
    <w:p>
      <w:pPr>
        <w:keepNext w:val="0"/>
        <w:keepLines w:val="0"/>
        <w:widowControl/>
        <w:suppressLineNumbers w:val="0"/>
        <w:ind w:firstLine="640"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color w:val="0D0D0D"/>
          <w:kern w:val="0"/>
          <w:sz w:val="32"/>
          <w:szCs w:val="32"/>
          <w:lang w:val="en-US" w:eastAsia="zh-CN" w:bidi="ar"/>
        </w:rPr>
        <w:t>本课题组近二十年来一直致力于肺癌精准个体化治疗的转化医学基础与临床研究，特别是EGFR-TKIs耐药研究，抗血管靶向临床治疗、肺癌分子特征、化疗药物疗效预测以及个体化综合治疗策略的研究，取得了多项国内外领先的研究成果，探索了肺癌治疗新方法，革新了肺癌的综合治疗策略，改善患者生存。具体内容如下：</w:t>
      </w:r>
    </w:p>
    <w:p>
      <w:pPr>
        <w:keepNext w:val="0"/>
        <w:keepLines w:val="0"/>
        <w:widowControl/>
        <w:suppressLineNumbers w:val="0"/>
        <w:ind w:firstLine="640"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color w:val="0D0D0D"/>
          <w:kern w:val="0"/>
          <w:sz w:val="32"/>
          <w:szCs w:val="32"/>
          <w:lang w:val="en-US" w:eastAsia="zh-CN" w:bidi="ar"/>
        </w:rPr>
        <w:t>首次发现EGFR-TKI耐药与IDH及PART1相关，与PD-L1表达有关。参与国内首个重组人血管内皮抑素恩度的上市前临床研究，率先确立其治疗晚期NSCLC安全性及有效性。基础研究发现PER、Hsp90-β、TIMP2、Drp1、CALR和MAGE-A3影响肺癌细胞生物学功能，可能成为潜在肺癌治疗新靶点及预后判断的标记物。国内率先利用NGS技术探索基因谱系与培美曲塞疗效关系，发现没有特定的基因图谱可用于预测培美曲塞疗效。综合治疗上确立肺动脉为放疗剂量限制性器官；发现Actovegin对放射性肠炎有修复作用；前瞻性研究明确微创手术较传统开放手术减轻患者免疫抑制；开拓性经纤支镜灌注石炭酸治疗支气管胸膜瘘新方法。首次揭示中药姜黄素抗肿瘤机制及汉黄芩苷的抗炎机制。</w:t>
      </w:r>
    </w:p>
    <w:p>
      <w:pPr>
        <w:keepNext w:val="0"/>
        <w:keepLines w:val="0"/>
        <w:widowControl/>
        <w:suppressLineNumbers w:val="0"/>
        <w:ind w:firstLine="640" w:firstLineChars="200"/>
        <w:jc w:val="left"/>
        <w:rPr>
          <w:rFonts w:hint="eastAsia" w:ascii="仿宋" w:hAnsi="仿宋" w:eastAsia="仿宋" w:cs="仿宋"/>
          <w:color w:val="0D0D0D"/>
          <w:kern w:val="0"/>
          <w:sz w:val="32"/>
          <w:szCs w:val="32"/>
          <w:lang w:val="en-US" w:eastAsia="zh-CN" w:bidi="ar"/>
        </w:rPr>
      </w:pPr>
      <w:r>
        <w:rPr>
          <w:rFonts w:hint="eastAsia" w:ascii="仿宋" w:hAnsi="仿宋" w:eastAsia="仿宋" w:cs="仿宋"/>
          <w:color w:val="0D0D0D"/>
          <w:kern w:val="0"/>
          <w:sz w:val="32"/>
          <w:szCs w:val="32"/>
          <w:lang w:val="en-US" w:eastAsia="zh-CN" w:bidi="ar"/>
        </w:rPr>
        <w:t>该项目研究成果获国家实用新型发明专利1项。发表国际期刊论文27篇，国内期刊8篇，其中通讯作者/第一作者收录文章23篇，总体IF 65.096。研究成果在2019WCLC会议发表交流1篇，受到同行的广泛关注和高度评价。培养研究生20余人，培训相关技术人员万余人次。相关创新成果在国内多个城市大型三甲医院广泛应用，惠及广大肺癌患者，取得了显著的社会效益。</w:t>
      </w:r>
    </w:p>
    <w:p>
      <w:pPr>
        <w:keepNext w:val="0"/>
        <w:keepLines w:val="0"/>
        <w:widowControl/>
        <w:suppressLineNumbers w:val="0"/>
        <w:ind w:firstLine="643" w:firstLineChars="200"/>
        <w:jc w:val="left"/>
        <w:rPr>
          <w:rFonts w:hint="eastAsia" w:ascii="仿宋" w:hAnsi="仿宋" w:eastAsia="仿宋" w:cs="仿宋"/>
          <w:b/>
          <w:bCs/>
          <w:color w:val="0D0D0D"/>
          <w:kern w:val="0"/>
          <w:sz w:val="32"/>
          <w:szCs w:val="32"/>
          <w:lang w:val="en-US" w:eastAsia="zh-CN" w:bidi="ar"/>
        </w:rPr>
      </w:pPr>
      <w:r>
        <w:rPr>
          <w:rFonts w:hint="eastAsia" w:ascii="仿宋" w:hAnsi="仿宋" w:eastAsia="仿宋" w:cs="仿宋"/>
          <w:b/>
          <w:bCs/>
          <w:color w:val="0D0D0D"/>
          <w:kern w:val="0"/>
          <w:sz w:val="32"/>
          <w:szCs w:val="32"/>
          <w:lang w:val="en-US" w:eastAsia="zh-CN" w:bidi="ar"/>
        </w:rPr>
        <w:t>五、科技创新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次证明PART1与EGFR-TKIs原发耐药有关。率先参与重组人血管内皮抑素恩度系列临床研究，恩度的获批上市填补国内血管抑制类药物抗肿瘤治疗空白，尤其填补肺鳞癌血管靶向治疗空白。新生血管是恶性浆膜腔积液发生发展的关键性因素。项目组国内率先在细胞系水平探讨不同抗血管生成药物联合三代EGFR-TKI治疗模式的疗效。证实贝伐珠单抗或阿帕替尼联合奥希替尼较同等浓度的单药奥希替尼提高抑瘤率,具有协同增效作用。指导并推动了联合治疗模式的临床应用。探索潜在指导临床精准个体化治疗和判断预后的新分子标志物。揭示时钟基因PER是NSCLC癌变过程中的抑癌基因，其缺失可促进NSCLC进展。国内首次利用NGS技术探索基因谱系与培美曲塞疗效关系，发现没有特定的基因图谱可用于预测培美曲塞疗效。首次在单变量或多变量分析中评估肺动脉和心脏剂量学参数对根治性分割放疗NSCLC生存的影响，确立肺动脉可作为此类患者剂量限制危险器官。</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组始终坚持研究内容来源于临床，最终服务于临床应用的原则，促进研究成果向临床诊疗新技术的转化。以上述研究成果为依据开展肺癌精准个体化治疗，累计在省内外多家三级甲等及各市地方近20余家医院得到广泛应用推广，惠及数万名肺恶性肿瘤患者，共发表相关论文35篇，其中通讯作者/第一作者收录文章23篇，总体IF 65.096。获得国家实用新型专利1项。培养研究生20余名，培训本专业相关技术人员万余人次。在多个国际、国内肺癌相关学术会议上交流，具有创新性、系统性和实用性。</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六、应用情况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始终坚持研究内容来源于临床，最终服务于临床应用的原则，促进研究成果向临床诊疗新技术的转化。以上研究成果为依据开展肺癌精准个体化治疗，累计在省内外多家三级甲等、三级特等医院及各市医院20余家医院得到广泛应用推广，包括吉林大学附属第一医院等。每年定期举办大型肺癌会议及媒体科普宣传，培训省内外专业医师万余人次，惠及数十万肺癌患者，取得了良好的社会效益。课题组共发表相关论文35篇，SCI收录论文27篇，其中通讯作者/第一作者收录文章23篇，总体IF 65.096，在Web of Science核心合集中共被引用515次，其中他引509次。获得国家实用新型专利1项。培养研究生20余名，培训本专业相关技术人员万余人次。</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主要应用单位情况表</w:t>
      </w:r>
    </w:p>
    <w:tbl>
      <w:tblPr>
        <w:tblStyle w:val="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92"/>
        <w:gridCol w:w="2559"/>
        <w:gridCol w:w="321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6" w:type="dxa"/>
            <w:noWrap w:val="0"/>
            <w:vAlign w:val="center"/>
          </w:tcPr>
          <w:p>
            <w:pPr>
              <w:pStyle w:val="2"/>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92" w:type="dxa"/>
            <w:noWrap w:val="0"/>
            <w:vAlign w:val="center"/>
          </w:tcPr>
          <w:p>
            <w:pPr>
              <w:pStyle w:val="2"/>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单位名称</w:t>
            </w:r>
          </w:p>
        </w:tc>
        <w:tc>
          <w:tcPr>
            <w:tcW w:w="2559" w:type="dxa"/>
            <w:noWrap w:val="0"/>
            <w:vAlign w:val="center"/>
          </w:tcPr>
          <w:p>
            <w:pPr>
              <w:pStyle w:val="2"/>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应用的技术</w:t>
            </w:r>
          </w:p>
        </w:tc>
        <w:tc>
          <w:tcPr>
            <w:tcW w:w="3214" w:type="dxa"/>
            <w:noWrap w:val="0"/>
            <w:vAlign w:val="center"/>
          </w:tcPr>
          <w:p>
            <w:pPr>
              <w:pStyle w:val="2"/>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应用对象</w:t>
            </w:r>
          </w:p>
          <w:p>
            <w:pPr>
              <w:pStyle w:val="2"/>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及规模</w:t>
            </w:r>
          </w:p>
        </w:tc>
        <w:tc>
          <w:tcPr>
            <w:tcW w:w="1140" w:type="dxa"/>
            <w:noWrap w:val="0"/>
            <w:vAlign w:val="center"/>
          </w:tcPr>
          <w:p>
            <w:pPr>
              <w:pStyle w:val="2"/>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应用起止时间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92"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吉林大学白求恩第一医院</w:t>
            </w:r>
          </w:p>
        </w:tc>
        <w:tc>
          <w:tcPr>
            <w:tcW w:w="2559"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血管靶向及生物制剂局部治疗浆膜腔积液；小细胞肺癌术后淋巴结转移者行辅助放疗</w:t>
            </w:r>
          </w:p>
        </w:tc>
        <w:tc>
          <w:tcPr>
            <w:tcW w:w="3214"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胸腔积液控制良好，无明显不良反应；精准放疗改善患者生活质量</w:t>
            </w:r>
          </w:p>
        </w:tc>
        <w:tc>
          <w:tcPr>
            <w:tcW w:w="1140"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2016.1至今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92"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哈尔滨医科大学附属二院</w:t>
            </w:r>
          </w:p>
        </w:tc>
        <w:tc>
          <w:tcPr>
            <w:tcW w:w="2559"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血管靶向联合化疗治疗晚期NSCLC；血管靶向及生物制剂局部治疗浆膜腔积液</w:t>
            </w:r>
          </w:p>
        </w:tc>
        <w:tc>
          <w:tcPr>
            <w:tcW w:w="3214"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血管靶向联合化疗提高临床疗效，改善患者生活治疗；胸腔积液控制良好，无明显不良反应</w:t>
            </w:r>
          </w:p>
        </w:tc>
        <w:tc>
          <w:tcPr>
            <w:tcW w:w="1140"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2015.1至今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92"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吉林大学中日联谊医院</w:t>
            </w:r>
          </w:p>
        </w:tc>
        <w:tc>
          <w:tcPr>
            <w:tcW w:w="2559"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肺癌基因检测指导下EGFR－TKIs耐药检测；恩度联合化疗治疗晚期NSCLC； </w:t>
            </w:r>
          </w:p>
        </w:tc>
        <w:tc>
          <w:tcPr>
            <w:tcW w:w="3214"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多基因检测指导临床治疗及预后判断；血管靶向联合化疗提高临床疗效，改善患者生活治疗 </w:t>
            </w:r>
          </w:p>
        </w:tc>
        <w:tc>
          <w:tcPr>
            <w:tcW w:w="1140"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2016.1至今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92"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中国医科大学附属盛京医院</w:t>
            </w:r>
          </w:p>
        </w:tc>
        <w:tc>
          <w:tcPr>
            <w:tcW w:w="2559"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肺癌基因检测指导下EGFR－TKIs耐药检测；S1在肺癌同步放化中应用； </w:t>
            </w:r>
          </w:p>
        </w:tc>
        <w:tc>
          <w:tcPr>
            <w:tcW w:w="3214"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多基因检测指导临床治疗及预后判断；S1用于同步放化治疗减低治疗毒副反应； </w:t>
            </w:r>
          </w:p>
        </w:tc>
        <w:tc>
          <w:tcPr>
            <w:tcW w:w="1140"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2010.1至今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92"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大连医科大学附属第一医院</w:t>
            </w:r>
          </w:p>
        </w:tc>
        <w:tc>
          <w:tcPr>
            <w:tcW w:w="2559"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小细胞肺癌术后淋巴结转移者行辅助放疗；血管靶向及生物制剂局部治疗浆膜腔积液，预防血栓等治疗相关不良反应的预防</w:t>
            </w:r>
          </w:p>
        </w:tc>
        <w:tc>
          <w:tcPr>
            <w:tcW w:w="3214" w:type="dxa"/>
            <w:noWrap w:val="0"/>
            <w:vAlign w:val="top"/>
          </w:tcPr>
          <w:p>
            <w:pPr>
              <w:pStyle w:val="2"/>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精准放疗，延长患者无病进展时间，改善患者生活质量；胸腔积液控制良好，无明显不良反应；多基因检测指导临床治疗及预后判断；</w:t>
            </w:r>
          </w:p>
        </w:tc>
        <w:tc>
          <w:tcPr>
            <w:tcW w:w="1140" w:type="dxa"/>
            <w:noWrap w:val="0"/>
            <w:vAlign w:val="top"/>
          </w:tcPr>
          <w:p>
            <w:pPr>
              <w:pStyle w:val="2"/>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2013.</w:t>
            </w:r>
            <w:r>
              <w:rPr>
                <w:rFonts w:hint="eastAsia" w:ascii="宋体" w:hAnsi="宋体" w:eastAsia="宋体" w:cs="宋体"/>
                <w:sz w:val="21"/>
                <w:szCs w:val="21"/>
                <w:lang w:val="en-US" w:eastAsia="zh-CN"/>
              </w:rPr>
              <w:t>1</w:t>
            </w:r>
            <w:r>
              <w:rPr>
                <w:rFonts w:hint="eastAsia" w:ascii="宋体" w:hAnsi="宋体" w:eastAsia="宋体" w:cs="宋体"/>
                <w:sz w:val="21"/>
                <w:szCs w:val="21"/>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92"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大连医科大学附属第二医院</w:t>
            </w:r>
          </w:p>
        </w:tc>
        <w:tc>
          <w:tcPr>
            <w:tcW w:w="2559"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小细胞肺癌术后淋巴结转移者行辅助放疗；血管靶向联合化疗治疗晚期NSCLC；生物制剂局部治疗浆膜腔积液； </w:t>
            </w:r>
          </w:p>
        </w:tc>
        <w:tc>
          <w:tcPr>
            <w:tcW w:w="3214"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精准放疗，延长患者无病进展时间，血管靶向联合化疗提高临床疗效，改善患者生活治疗；胸腔积液控制良好，无明显不良反应； </w:t>
            </w:r>
          </w:p>
        </w:tc>
        <w:tc>
          <w:tcPr>
            <w:tcW w:w="1140"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2014.1至今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92"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锦州医科大学附属第一医院</w:t>
            </w:r>
          </w:p>
        </w:tc>
        <w:tc>
          <w:tcPr>
            <w:tcW w:w="2559"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多种分子标志物检测用于风险评估，指导临床治疗；血管靶向联合化疗治疗晚期NSCLC；生物制剂局部治疗浆膜腔积液</w:t>
            </w:r>
          </w:p>
        </w:tc>
        <w:tc>
          <w:tcPr>
            <w:tcW w:w="3214"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根据分子标志物表达，指导临床用药选择；血管靶向联合化疗提高临床疗效，改善患者生活治疗</w:t>
            </w:r>
          </w:p>
        </w:tc>
        <w:tc>
          <w:tcPr>
            <w:tcW w:w="1140"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2010.1至今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92"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辽宁省肿瘤医院</w:t>
            </w:r>
          </w:p>
        </w:tc>
        <w:tc>
          <w:tcPr>
            <w:tcW w:w="2559"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胸腔镜辅助下肺癌微创治疗；肺癌基因检测指导下EGFR－TKIs耐药监测；石炭酸经纤支镜灌注治疗支气管胸膜瘘</w:t>
            </w:r>
          </w:p>
        </w:tc>
        <w:tc>
          <w:tcPr>
            <w:tcW w:w="3214"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微创外科手术，改善患者免疫抑制状态；多基因检测指导临床治疗及预后判断；治疗支气管3-7mm胸膜瘘，有效率高，疗效确切</w:t>
            </w:r>
          </w:p>
        </w:tc>
        <w:tc>
          <w:tcPr>
            <w:tcW w:w="1140"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2010.1至今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992"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辽宁省人民医院</w:t>
            </w:r>
          </w:p>
        </w:tc>
        <w:tc>
          <w:tcPr>
            <w:tcW w:w="2559"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肺癌基因检测指导下EGFR－TKIs耐药检测；小细胞肺癌术后淋巴结转移者行辅助放疗</w:t>
            </w:r>
          </w:p>
        </w:tc>
        <w:tc>
          <w:tcPr>
            <w:tcW w:w="3214"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指导临床治疗及预后判断；血精准放疗，延长患者无病进展时间，改善患者生活质量</w:t>
            </w:r>
          </w:p>
        </w:tc>
        <w:tc>
          <w:tcPr>
            <w:tcW w:w="1140"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2013.1至今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92"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沈阳市胸科医院</w:t>
            </w:r>
          </w:p>
        </w:tc>
        <w:tc>
          <w:tcPr>
            <w:tcW w:w="2559"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石炭酸经纤支镜灌注治疗支气管胸膜瘘；胸腔镜辅助下肺癌微创治疗；S1在肺癌同步放化中应用； </w:t>
            </w:r>
          </w:p>
        </w:tc>
        <w:tc>
          <w:tcPr>
            <w:tcW w:w="3214"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治疗支气管3-7mm胸膜瘘，微创外科手术，改善患者免疫抑制状态；S1用于同步放化治疗减低治疗毒副反应； </w:t>
            </w:r>
          </w:p>
        </w:tc>
        <w:tc>
          <w:tcPr>
            <w:tcW w:w="1140"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2010.1至今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26" w:type="dxa"/>
            <w:noWrap w:val="0"/>
            <w:vAlign w:val="top"/>
          </w:tcPr>
          <w:p>
            <w:pPr>
              <w:pStyle w:val="2"/>
              <w:spacing w:line="240" w:lineRule="auto"/>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992"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鞍山市肿瘤医院</w:t>
            </w:r>
          </w:p>
        </w:tc>
        <w:tc>
          <w:tcPr>
            <w:tcW w:w="2559"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血管靶向联合化疗治疗晚期NSCLC；血管靶向及生物制剂局部治疗浆膜腔积液；多种分子标志物检测用于风险评估，指导临床治疗</w:t>
            </w:r>
          </w:p>
        </w:tc>
        <w:tc>
          <w:tcPr>
            <w:tcW w:w="3214"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血管靶向联合化疗提高临床疗效，改善患者生活治疗；胸腔积液控制良好，无明显不良反应；根据分子标志物表达，指导临床用药选择； </w:t>
            </w:r>
          </w:p>
        </w:tc>
        <w:tc>
          <w:tcPr>
            <w:tcW w:w="1140" w:type="dxa"/>
            <w:noWrap w:val="0"/>
            <w:vAlign w:val="top"/>
          </w:tcPr>
          <w:p>
            <w:pPr>
              <w:pStyle w:val="2"/>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2011.1至今</w:t>
            </w:r>
          </w:p>
        </w:tc>
      </w:tr>
    </w:tbl>
    <w:p>
      <w:pPr>
        <w:ind w:left="1598" w:leftChars="304" w:hanging="960" w:hangingChars="300"/>
        <w:rPr>
          <w:rFonts w:hint="eastAsia" w:ascii="仿宋" w:hAnsi="仿宋" w:eastAsia="仿宋" w:cs="仿宋"/>
          <w:sz w:val="32"/>
          <w:szCs w:val="32"/>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候选项目5：</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《学校卫生监督量化分级管理技术指南》研究项目</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一、主要完成单位：</w:t>
      </w:r>
      <w:r>
        <w:rPr>
          <w:rFonts w:hint="eastAsia" w:ascii="仿宋" w:hAnsi="仿宋" w:eastAsia="仿宋" w:cs="仿宋"/>
          <w:sz w:val="32"/>
          <w:szCs w:val="32"/>
          <w:lang w:val="en-US" w:eastAsia="zh-CN"/>
        </w:rPr>
        <w:t>辽宁省卫生健康监督中心</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二、主要完成人：</w:t>
      </w:r>
      <w:r>
        <w:rPr>
          <w:rFonts w:hint="eastAsia" w:ascii="仿宋" w:hAnsi="仿宋" w:eastAsia="仿宋" w:cs="仿宋"/>
          <w:sz w:val="32"/>
          <w:szCs w:val="32"/>
          <w:lang w:val="en-US" w:eastAsia="zh-CN"/>
        </w:rPr>
        <w:t>潘德鸿、刘金东、于玲、张婧、王子尧、高海波、王光宇</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kern w:val="0"/>
          <w:sz w:val="32"/>
          <w:szCs w:val="32"/>
          <w:lang w:val="en-US" w:eastAsia="zh-CN" w:bidi="ar-SA"/>
        </w:rPr>
        <w:t>三、</w:t>
      </w:r>
      <w:r>
        <w:rPr>
          <w:rFonts w:hint="eastAsia" w:ascii="仿宋" w:hAnsi="仿宋" w:eastAsia="仿宋" w:cs="仿宋"/>
          <w:b/>
          <w:bCs/>
          <w:color w:val="0D0D0D"/>
          <w:kern w:val="0"/>
          <w:sz w:val="32"/>
          <w:szCs w:val="32"/>
          <w:lang w:val="en-US" w:eastAsia="zh-CN" w:bidi="ar"/>
        </w:rPr>
        <w:t>提名奖项及等级</w:t>
      </w:r>
      <w:r>
        <w:rPr>
          <w:rFonts w:hint="eastAsia" w:ascii="仿宋" w:hAnsi="仿宋" w:eastAsia="仿宋" w:cs="仿宋"/>
          <w:b/>
          <w:kern w:val="0"/>
          <w:sz w:val="32"/>
          <w:szCs w:val="32"/>
          <w:lang w:val="en-US" w:eastAsia="zh-CN" w:bidi="ar-SA"/>
        </w:rPr>
        <w:t>：</w:t>
      </w:r>
      <w:r>
        <w:rPr>
          <w:rFonts w:hint="eastAsia" w:ascii="仿宋" w:hAnsi="仿宋" w:eastAsia="仿宋" w:cs="仿宋"/>
          <w:sz w:val="32"/>
          <w:szCs w:val="32"/>
          <w:lang w:val="en-US" w:eastAsia="zh-CN"/>
        </w:rPr>
        <w:t>省科技进步三等奖</w:t>
      </w:r>
    </w:p>
    <w:p>
      <w:pPr>
        <w:pStyle w:val="2"/>
        <w:ind w:left="0" w:leftChars="0" w:firstLine="643" w:firstLineChars="200"/>
        <w:jc w:val="both"/>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四</w:t>
      </w:r>
      <w:r>
        <w:rPr>
          <w:rFonts w:hint="eastAsia" w:ascii="仿宋" w:hAnsi="仿宋" w:eastAsia="仿宋" w:cs="仿宋"/>
          <w:b/>
          <w:sz w:val="32"/>
          <w:szCs w:val="32"/>
        </w:rPr>
        <w:t>、项目简介</w:t>
      </w:r>
      <w:r>
        <w:rPr>
          <w:rFonts w:hint="eastAsia" w:ascii="仿宋" w:hAnsi="仿宋" w:eastAsia="仿宋" w:cs="仿宋"/>
          <w:b/>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学校卫生综合评价》（GB/T18205-2012）为技术支撑，2014年原辽宁省卫计委、教育厅、爱卫会联合下发《辽宁省高等院校卫生监督量化分级管理实施方案》，该管理体系正式运行，统筹划分高校的传染病防控、突发公共卫生事件管理、生活饮用水、生活环境和公共场所、校医院（卫生所）等分散的管理内容，综合评估学校整体卫生水平和风险，并将量化评价结果与高等院校招生指标挂钩，使高等院校的自身卫生管理水平、卫生监督机构的监管效能大幅提高。辽宁省为全国高等院校卫生监督管理提供新模式，自2014年正式开展该管理体系，全省118所高校已经进行两次卫健委、教育厅、爱委会评估。2015-2017学年全省高校在学校卫生工作中的医疗机构、生活饮用水、公共场所等领域共投入8401.57万元，使学校公共卫生重视程度得到极大改善。2020年开始，尤其新冠肺炎的发生，该管理模式发挥巨大作用，卫教协作、优势互补，强化学校主体意识，为学校时有发生的突发公共卫生事件防控提供参考，进而保障学校师生的身心健康，教学秩序及社会稳定。</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、科技创新</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经过多年的工作</w:t>
      </w:r>
      <w:r>
        <w:rPr>
          <w:rFonts w:hint="eastAsia" w:ascii="仿宋" w:hAnsi="仿宋" w:eastAsia="仿宋" w:cs="仿宋"/>
          <w:sz w:val="32"/>
          <w:szCs w:val="32"/>
          <w:lang w:eastAsia="zh-CN"/>
        </w:rPr>
        <w:t>，</w:t>
      </w:r>
      <w:r>
        <w:rPr>
          <w:rFonts w:hint="eastAsia" w:ascii="仿宋" w:hAnsi="仿宋" w:eastAsia="仿宋" w:cs="仿宋"/>
          <w:sz w:val="32"/>
          <w:szCs w:val="32"/>
        </w:rPr>
        <w:t>形成了联合管理学校卫生工作“卫教”模式系列工作，包括“学校卫生综合评价”</w:t>
      </w:r>
      <w:r>
        <w:rPr>
          <w:rFonts w:hint="eastAsia" w:ascii="仿宋" w:hAnsi="仿宋" w:eastAsia="仿宋" w:cs="仿宋"/>
          <w:sz w:val="32"/>
          <w:szCs w:val="32"/>
          <w:lang w:eastAsia="zh-CN"/>
        </w:rPr>
        <w:t>、</w:t>
      </w:r>
      <w:r>
        <w:rPr>
          <w:rFonts w:hint="eastAsia" w:ascii="仿宋" w:hAnsi="仿宋" w:eastAsia="仿宋" w:cs="仿宋"/>
          <w:sz w:val="32"/>
          <w:szCs w:val="32"/>
        </w:rPr>
        <w:t xml:space="preserve">“星级幼儿园评定” </w:t>
      </w:r>
      <w:r>
        <w:rPr>
          <w:rFonts w:hint="eastAsia" w:ascii="仿宋" w:hAnsi="仿宋" w:eastAsia="仿宋" w:cs="仿宋"/>
          <w:sz w:val="32"/>
          <w:szCs w:val="32"/>
          <w:lang w:eastAsia="zh-CN"/>
        </w:rPr>
        <w:t>、</w:t>
      </w:r>
      <w:r>
        <w:rPr>
          <w:rFonts w:hint="eastAsia" w:ascii="仿宋" w:hAnsi="仿宋" w:eastAsia="仿宋" w:cs="仿宋"/>
          <w:sz w:val="32"/>
          <w:szCs w:val="32"/>
        </w:rPr>
        <w:t>“高等院校量化分级管理”等。开展包括防艾防结核等传染病防控、突发公共卫生事件、常见病多发病预防宣传在内的各类宣传3298次。通过合理配置学校资源极大地促进了学校卫生工作的开展和落实。建立起了部门间的合作模式，发挥各自职能优势，实现对学校卫生全面有效的监管。全省高校新办公共场所及生活饮用水卫生许可证200个，新增加各类设施设备1163件套（其中，生活饮用水设施设备59件套；医疗设备792件套；公共场所卫生设施设备312件套。）。改造设施设备132件套（其中，生活饮用水设施设备62件套；医疗设备70件套）。2014年9月1日-2015年8月31日全省高等院校各类卫生检测报告860份（其中，生活饮用水检查报告272份；公共场所检查报告588份），各高校清洗水箱200次，直饮水机清洗1600余次。具不完全统计，2014-2015年度高等院校在学校卫生工作中的医疗机构、生活饮用水、公共场所等领域共投入约4215万元。高等院校卫生工作得到极大的提高，管理水平显著增强。通过卫生监督量化管理，彻底全面完善了高校卫生管理组织建设，全省高等院校新设立卫生管理机构46个；新建校医院4所；新增医疗设备792件套；学校医疗机构增加卫生专业技术人员92人，为学校落实好卫生管理打下了坚实的基础。因卫生监督量化分级工作，部分学校新建或重建卫生所、门诊部，部分学校积极申请医护人员编制或对外招聘医护人员。</w:t>
      </w:r>
    </w:p>
    <w:p>
      <w:pPr>
        <w:pStyle w:val="2"/>
        <w:ind w:firstLine="643" w:firstLineChars="200"/>
        <w:jc w:val="left"/>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六</w:t>
      </w:r>
      <w:r>
        <w:rPr>
          <w:rFonts w:hint="eastAsia" w:ascii="仿宋" w:hAnsi="仿宋" w:eastAsia="仿宋" w:cs="仿宋"/>
          <w:b/>
          <w:sz w:val="32"/>
          <w:szCs w:val="32"/>
        </w:rPr>
        <w:t>、应用情况</w:t>
      </w:r>
      <w:r>
        <w:rPr>
          <w:rFonts w:hint="eastAsia" w:ascii="仿宋" w:hAnsi="仿宋" w:eastAsia="仿宋" w:cs="仿宋"/>
          <w:b/>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主要应用单位情况表</w:t>
      </w:r>
    </w:p>
    <w:tbl>
      <w:tblPr>
        <w:tblStyle w:val="4"/>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25"/>
        <w:gridCol w:w="1365"/>
        <w:gridCol w:w="3315"/>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04" w:type="dxa"/>
            <w:noWrap w:val="0"/>
            <w:vAlign w:val="center"/>
          </w:tcPr>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525" w:type="dxa"/>
            <w:noWrap w:val="0"/>
            <w:vAlign w:val="center"/>
          </w:tcPr>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单位名称</w:t>
            </w:r>
          </w:p>
        </w:tc>
        <w:tc>
          <w:tcPr>
            <w:tcW w:w="1365" w:type="dxa"/>
            <w:noWrap w:val="0"/>
            <w:vAlign w:val="center"/>
          </w:tcPr>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应用的技术</w:t>
            </w:r>
          </w:p>
        </w:tc>
        <w:tc>
          <w:tcPr>
            <w:tcW w:w="3315" w:type="dxa"/>
            <w:noWrap w:val="0"/>
            <w:vAlign w:val="center"/>
          </w:tcPr>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应用对象</w:t>
            </w:r>
          </w:p>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及规模</w:t>
            </w:r>
          </w:p>
        </w:tc>
        <w:tc>
          <w:tcPr>
            <w:tcW w:w="1438" w:type="dxa"/>
            <w:noWrap w:val="0"/>
            <w:vAlign w:val="center"/>
          </w:tcPr>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应用起止</w:t>
            </w:r>
          </w:p>
          <w:p>
            <w:pPr>
              <w:pStyle w:val="2"/>
              <w:ind w:firstLine="0" w:firstLineChars="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04" w:type="dxa"/>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p>
        </w:tc>
        <w:tc>
          <w:tcPr>
            <w:tcW w:w="1525" w:type="dxa"/>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东北大学</w:t>
            </w:r>
          </w:p>
        </w:tc>
        <w:tc>
          <w:tcPr>
            <w:tcW w:w="1365" w:type="dxa"/>
            <w:vMerge w:val="restart"/>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高校量化分级管理模式</w:t>
            </w:r>
          </w:p>
        </w:tc>
        <w:tc>
          <w:tcPr>
            <w:tcW w:w="3315" w:type="dxa"/>
            <w:vMerge w:val="restart"/>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kern w:val="2"/>
                <w:sz w:val="21"/>
                <w:szCs w:val="21"/>
                <w:lang w:val="en-US" w:eastAsia="zh-CN"/>
              </w:rPr>
              <w:t>全校师生在</w:t>
            </w:r>
            <w:r>
              <w:rPr>
                <w:rFonts w:hint="eastAsia" w:ascii="宋体" w:hAnsi="宋体" w:eastAsia="宋体" w:cs="宋体"/>
                <w:kern w:val="2"/>
                <w:sz w:val="21"/>
                <w:szCs w:val="21"/>
              </w:rPr>
              <w:t>传染病防控、突发公共卫生事件、学生常见病与多发病、生活饮用水、生活环境和公共场所、校医院（卫生所）</w:t>
            </w:r>
          </w:p>
        </w:tc>
        <w:tc>
          <w:tcPr>
            <w:tcW w:w="1438" w:type="dxa"/>
            <w:vMerge w:val="restart"/>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2014.1至今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04" w:type="dxa"/>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w:t>
            </w:r>
          </w:p>
        </w:tc>
        <w:tc>
          <w:tcPr>
            <w:tcW w:w="1525" w:type="dxa"/>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大连大学</w:t>
            </w:r>
          </w:p>
        </w:tc>
        <w:tc>
          <w:tcPr>
            <w:tcW w:w="1365" w:type="dxa"/>
            <w:vMerge w:val="continue"/>
            <w:noWrap w:val="0"/>
            <w:vAlign w:val="center"/>
          </w:tcPr>
          <w:p>
            <w:pPr>
              <w:pStyle w:val="2"/>
              <w:ind w:firstLine="0" w:firstLineChars="0"/>
              <w:jc w:val="center"/>
              <w:rPr>
                <w:rFonts w:hint="eastAsia" w:ascii="宋体" w:hAnsi="宋体" w:eastAsia="宋体" w:cs="宋体"/>
                <w:color w:val="000000"/>
                <w:kern w:val="2"/>
                <w:sz w:val="21"/>
                <w:szCs w:val="21"/>
              </w:rPr>
            </w:pPr>
          </w:p>
        </w:tc>
        <w:tc>
          <w:tcPr>
            <w:tcW w:w="3315" w:type="dxa"/>
            <w:vMerge w:val="continue"/>
            <w:noWrap w:val="0"/>
            <w:vAlign w:val="center"/>
          </w:tcPr>
          <w:p>
            <w:pPr>
              <w:pStyle w:val="2"/>
              <w:ind w:firstLine="0" w:firstLineChars="0"/>
              <w:jc w:val="center"/>
              <w:rPr>
                <w:rFonts w:hint="eastAsia" w:ascii="宋体" w:hAnsi="宋体" w:eastAsia="宋体" w:cs="宋体"/>
                <w:color w:val="000000"/>
                <w:kern w:val="2"/>
                <w:sz w:val="21"/>
                <w:szCs w:val="21"/>
              </w:rPr>
            </w:pPr>
          </w:p>
        </w:tc>
        <w:tc>
          <w:tcPr>
            <w:tcW w:w="1438" w:type="dxa"/>
            <w:vMerge w:val="continue"/>
            <w:noWrap w:val="0"/>
            <w:vAlign w:val="center"/>
          </w:tcPr>
          <w:p>
            <w:pPr>
              <w:pStyle w:val="2"/>
              <w:ind w:firstLine="0" w:firstLineChars="0"/>
              <w:jc w:val="center"/>
              <w:rPr>
                <w:rFonts w:hint="eastAsia" w:ascii="宋体" w:hAnsi="宋体" w:eastAsia="宋体"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04" w:type="dxa"/>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p>
        </w:tc>
        <w:tc>
          <w:tcPr>
            <w:tcW w:w="1525" w:type="dxa"/>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沈阳建筑大学</w:t>
            </w:r>
          </w:p>
        </w:tc>
        <w:tc>
          <w:tcPr>
            <w:tcW w:w="1365" w:type="dxa"/>
            <w:vMerge w:val="continue"/>
            <w:noWrap w:val="0"/>
            <w:vAlign w:val="center"/>
          </w:tcPr>
          <w:p>
            <w:pPr>
              <w:pStyle w:val="2"/>
              <w:ind w:firstLine="0" w:firstLineChars="0"/>
              <w:jc w:val="center"/>
              <w:rPr>
                <w:rFonts w:hint="eastAsia" w:ascii="宋体" w:hAnsi="宋体" w:eastAsia="宋体" w:cs="宋体"/>
                <w:color w:val="000000"/>
                <w:kern w:val="2"/>
                <w:sz w:val="21"/>
                <w:szCs w:val="21"/>
              </w:rPr>
            </w:pPr>
          </w:p>
        </w:tc>
        <w:tc>
          <w:tcPr>
            <w:tcW w:w="3315" w:type="dxa"/>
            <w:vMerge w:val="continue"/>
            <w:noWrap w:val="0"/>
            <w:vAlign w:val="center"/>
          </w:tcPr>
          <w:p>
            <w:pPr>
              <w:pStyle w:val="2"/>
              <w:ind w:firstLine="0" w:firstLineChars="0"/>
              <w:jc w:val="center"/>
              <w:rPr>
                <w:rFonts w:hint="eastAsia" w:ascii="宋体" w:hAnsi="宋体" w:eastAsia="宋体" w:cs="宋体"/>
                <w:color w:val="000000"/>
                <w:kern w:val="2"/>
                <w:sz w:val="21"/>
                <w:szCs w:val="21"/>
              </w:rPr>
            </w:pPr>
          </w:p>
        </w:tc>
        <w:tc>
          <w:tcPr>
            <w:tcW w:w="1438" w:type="dxa"/>
            <w:vMerge w:val="continue"/>
            <w:noWrap w:val="0"/>
            <w:vAlign w:val="center"/>
          </w:tcPr>
          <w:p>
            <w:pPr>
              <w:pStyle w:val="2"/>
              <w:ind w:firstLine="0" w:firstLineChars="0"/>
              <w:jc w:val="center"/>
              <w:rPr>
                <w:rFonts w:hint="eastAsia" w:ascii="宋体" w:hAnsi="宋体" w:eastAsia="宋体" w:cs="宋体"/>
                <w:color w:val="000000"/>
                <w:kern w:val="2"/>
                <w:sz w:val="21"/>
                <w:szCs w:val="21"/>
                <w:lang w:val="en-US" w:eastAsia="zh-CN"/>
              </w:rPr>
            </w:pPr>
          </w:p>
        </w:tc>
      </w:tr>
    </w:tbl>
    <w:p>
      <w:pPr>
        <w:ind w:left="643" w:hanging="643" w:hangingChars="200"/>
        <w:rPr>
          <w:rFonts w:hint="eastAsia" w:ascii="仿宋" w:hAnsi="仿宋" w:eastAsia="仿宋" w:cs="仿宋"/>
          <w:b/>
          <w:bCs/>
          <w:sz w:val="32"/>
          <w:szCs w:val="32"/>
          <w:lang w:val="en-US" w:eastAsia="zh-CN"/>
        </w:rPr>
      </w:pPr>
    </w:p>
    <w:p>
      <w:pPr>
        <w:ind w:left="643" w:hanging="643" w:hanging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候选项目6：</w:t>
      </w:r>
    </w:p>
    <w:p>
      <w:pPr>
        <w:ind w:left="643" w:hanging="643" w:hanging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以信息化为依托搭建人人参与的治理平台</w:t>
      </w:r>
    </w:p>
    <w:p>
      <w:pPr>
        <w:ind w:left="720" w:leftChars="343"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一、主要完成单位：</w:t>
      </w:r>
      <w:r>
        <w:rPr>
          <w:rFonts w:hint="eastAsia" w:ascii="仿宋" w:hAnsi="仿宋" w:eastAsia="仿宋" w:cs="仿宋"/>
          <w:sz w:val="32"/>
          <w:szCs w:val="32"/>
          <w:lang w:val="en-US" w:eastAsia="zh-CN"/>
        </w:rPr>
        <w:t>辽宁省优抚医院</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二、主要完成人：</w:t>
      </w:r>
      <w:r>
        <w:rPr>
          <w:rFonts w:hint="eastAsia" w:ascii="仿宋" w:hAnsi="仿宋" w:eastAsia="仿宋" w:cs="仿宋"/>
          <w:sz w:val="32"/>
          <w:szCs w:val="32"/>
          <w:lang w:val="en-US" w:eastAsia="zh-CN"/>
        </w:rPr>
        <w:t>刘红阳、刘恩娇、王慧声、代晓微、马作新、李金梅、王柏君</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kern w:val="0"/>
          <w:sz w:val="32"/>
          <w:szCs w:val="32"/>
          <w:lang w:val="en-US" w:eastAsia="zh-CN" w:bidi="ar-SA"/>
        </w:rPr>
        <w:t>三、</w:t>
      </w:r>
      <w:r>
        <w:rPr>
          <w:rFonts w:hint="eastAsia" w:ascii="仿宋" w:hAnsi="仿宋" w:eastAsia="仿宋" w:cs="仿宋"/>
          <w:b/>
          <w:bCs/>
          <w:color w:val="0D0D0D"/>
          <w:kern w:val="0"/>
          <w:sz w:val="32"/>
          <w:szCs w:val="32"/>
          <w:lang w:val="en-US" w:eastAsia="zh-CN" w:bidi="ar"/>
        </w:rPr>
        <w:t>提名奖项及等级</w:t>
      </w:r>
      <w:r>
        <w:rPr>
          <w:rFonts w:hint="eastAsia" w:ascii="仿宋" w:hAnsi="仿宋" w:eastAsia="仿宋" w:cs="仿宋"/>
          <w:b/>
          <w:kern w:val="0"/>
          <w:sz w:val="32"/>
          <w:szCs w:val="32"/>
          <w:lang w:val="en-US" w:eastAsia="zh-CN" w:bidi="ar-SA"/>
        </w:rPr>
        <w:t>：</w:t>
      </w:r>
      <w:r>
        <w:rPr>
          <w:rFonts w:hint="eastAsia" w:ascii="仿宋" w:hAnsi="仿宋" w:eastAsia="仿宋" w:cs="仿宋"/>
          <w:sz w:val="32"/>
          <w:szCs w:val="32"/>
          <w:lang w:val="en-US" w:eastAsia="zh-CN"/>
        </w:rPr>
        <w:t>省科技进步三等奖</w:t>
      </w:r>
    </w:p>
    <w:p>
      <w:pPr>
        <w:pStyle w:val="2"/>
        <w:ind w:left="0" w:leftChars="0" w:firstLine="643" w:firstLineChars="200"/>
        <w:jc w:val="both"/>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四</w:t>
      </w:r>
      <w:r>
        <w:rPr>
          <w:rFonts w:hint="eastAsia" w:ascii="仿宋" w:hAnsi="仿宋" w:eastAsia="仿宋" w:cs="仿宋"/>
          <w:b/>
          <w:sz w:val="32"/>
          <w:szCs w:val="32"/>
        </w:rPr>
        <w:t>、项目简介</w:t>
      </w:r>
      <w:r>
        <w:rPr>
          <w:rFonts w:hint="eastAsia" w:ascii="仿宋" w:hAnsi="仿宋" w:eastAsia="仿宋" w:cs="仿宋"/>
          <w:b/>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主要技术方案：一是依托信息化手段，借助于智能手机，利用微信小程序、微信公众号、手机 APP、网站等工具，搭建互联网平台，实现人人参与。二是平台运转的闭环管理，以问题流向为视角，建立发现问题、收集问题、受理问题、移交问题、解决问题、问题反馈的平台运作流程。三是保障平台高效运转，研究平台的组织保障、制度保障、绩效考核、激励措施等，找出平台运转各环节的关键点。平台运作流程：第一步，发现问题，有人发现问题，可以将照片、视频、文字或语音上传到平台，简要说明问题；第二步，收集问题，平台管理员将接收到的图片、视频、文字等进行整理、分类与汇报；第三步，受理问题，由治理者与执行者共同受理问题、分析问题并提出整改意见及改进措施；第四步，移交问题，治理者确定将问题移交给哪个执行的部门落实，或哪几个部门联合落实；第五步，解决问题，执行者将问题解决后，将照片、视频或语音、文字上传平台； 第六步，平台管理员将问题解决的情况反馈给发现问题的人员。技术原理：《以信息化为依托搭建人人参与的治理平台》实际上是电子政务的一种应用。电子政务是指国家机关在政务活动中，全面应用现代信息技术、网络技术以及办公自动化技术等进行办公、管理和为社会提供公共服务的一种全新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"https://baike.baidu.com/item/%E7%AE%A1%E7%90%86%E6%A8%A1%E5%BC%8F/10595604" \h </w:instrText>
      </w:r>
      <w:r>
        <w:rPr>
          <w:rFonts w:hint="eastAsia" w:ascii="仿宋" w:hAnsi="仿宋" w:eastAsia="仿宋" w:cs="仿宋"/>
          <w:sz w:val="32"/>
          <w:szCs w:val="32"/>
        </w:rPr>
        <w:fldChar w:fldCharType="separate"/>
      </w:r>
      <w:r>
        <w:rPr>
          <w:rFonts w:hint="eastAsia" w:ascii="仿宋" w:hAnsi="仿宋" w:eastAsia="仿宋" w:cs="仿宋"/>
          <w:sz w:val="32"/>
          <w:szCs w:val="32"/>
        </w:rPr>
        <w:t>管理模式</w:t>
      </w:r>
      <w:r>
        <w:rPr>
          <w:rFonts w:hint="eastAsia" w:ascii="仿宋" w:hAnsi="仿宋" w:eastAsia="仿宋" w:cs="仿宋"/>
          <w:sz w:val="32"/>
          <w:szCs w:val="32"/>
        </w:rPr>
        <w:fldChar w:fldCharType="end"/>
      </w:r>
      <w:r>
        <w:rPr>
          <w:rFonts w:hint="eastAsia" w:ascii="仿宋" w:hAnsi="仿宋" w:eastAsia="仿宋" w:cs="仿宋"/>
          <w:sz w:val="32"/>
          <w:szCs w:val="32"/>
        </w:rPr>
        <w:t xml:space="preserve">。电子政务已成为学界普遍公认的推进国家治理能力现代化的重要路径。本项目具有可复制可推广性。一是技术手段成熟，智能手机普及; 二是群众参与意愿强烈， 充分体现公众当家作主的权利; 三是经费投入少，只需要信息化软件的投入，费用不高，人员成本不多，不需要过多的管理人员。四是本项目应用领域广泛，可以应用于单位、行业，乃至城市综合治理等各个领域。五是见效快、效果好。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辽宁省人民医院自2015年8月创建了以信息化为依托的人人参与的治理平台，起名“你发现，我改变，爱省医，随手拍”，该项目在医院的发展建设中起到了重要作用，全面助力了辽宁省人民医院质量与安全的提升，为医院一举通过国际标准 JCI 认证做出贡献。2017 年该项目入选《国际标准 中国实践》一书的最佳案例，全国仅有 20 家医院获此殊荣。2018 年该项目获得了亚洲医院管理创新金奖。国内多家医院到辽宁省人民医院学习“随手拍”，并且有多家医院已经应用。 </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五、科技创新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治理模式的创新</w:t>
      </w:r>
      <w:r>
        <w:rPr>
          <w:rFonts w:hint="eastAsia" w:ascii="仿宋" w:hAnsi="仿宋" w:eastAsia="仿宋" w:cs="仿宋"/>
          <w:sz w:val="32"/>
          <w:szCs w:val="32"/>
          <w:lang w:eastAsia="zh-CN"/>
        </w:rPr>
        <w:t>，</w:t>
      </w:r>
      <w:r>
        <w:rPr>
          <w:rFonts w:hint="eastAsia" w:ascii="仿宋" w:hAnsi="仿宋" w:eastAsia="仿宋" w:cs="仿宋"/>
          <w:sz w:val="32"/>
          <w:szCs w:val="32"/>
        </w:rPr>
        <w:t>一种新的方法</w:t>
      </w:r>
      <w:r>
        <w:rPr>
          <w:rFonts w:hint="eastAsia" w:ascii="仿宋" w:hAnsi="仿宋" w:eastAsia="仿宋" w:cs="仿宋"/>
          <w:sz w:val="32"/>
          <w:szCs w:val="32"/>
          <w:lang w:eastAsia="zh-CN"/>
        </w:rPr>
        <w:t>。</w:t>
      </w:r>
      <w:r>
        <w:rPr>
          <w:rFonts w:hint="eastAsia" w:ascii="仿宋" w:hAnsi="仿宋" w:eastAsia="仿宋" w:cs="仿宋"/>
          <w:sz w:val="32"/>
          <w:szCs w:val="32"/>
        </w:rPr>
        <w:t>充分利用信息化手段，应用电子政务原理，构建出一套全新的、面向大众的、以服务为目标的治理体系。将信息化平台作为一种以问题为导向的治理工具的创新</w:t>
      </w:r>
      <w:r>
        <w:rPr>
          <w:rFonts w:hint="eastAsia" w:ascii="仿宋" w:hAnsi="仿宋" w:eastAsia="仿宋" w:cs="仿宋"/>
          <w:sz w:val="32"/>
          <w:szCs w:val="32"/>
          <w:lang w:eastAsia="zh-CN"/>
        </w:rPr>
        <w:t>，</w:t>
      </w:r>
      <w:r>
        <w:rPr>
          <w:rFonts w:hint="eastAsia" w:ascii="仿宋" w:hAnsi="仿宋" w:eastAsia="仿宋" w:cs="仿宋"/>
          <w:sz w:val="32"/>
          <w:szCs w:val="32"/>
        </w:rPr>
        <w:t>一种新的技术</w:t>
      </w:r>
      <w:r>
        <w:rPr>
          <w:rFonts w:hint="eastAsia" w:ascii="仿宋" w:hAnsi="仿宋" w:eastAsia="仿宋" w:cs="仿宋"/>
          <w:sz w:val="32"/>
          <w:szCs w:val="32"/>
          <w:lang w:eastAsia="zh-CN"/>
        </w:rPr>
        <w:t>。</w:t>
      </w:r>
      <w:r>
        <w:rPr>
          <w:rFonts w:hint="eastAsia" w:ascii="仿宋" w:hAnsi="仿宋" w:eastAsia="仿宋" w:cs="仿宋"/>
          <w:sz w:val="32"/>
          <w:szCs w:val="32"/>
        </w:rPr>
        <w:t>以信息化为依托搭建的人人参与的治理平台可广泛应用于社会各行各业。保障平台运转的创新</w:t>
      </w:r>
      <w:r>
        <w:rPr>
          <w:rFonts w:hint="eastAsia" w:ascii="仿宋" w:hAnsi="仿宋" w:eastAsia="仿宋" w:cs="仿宋"/>
          <w:sz w:val="32"/>
          <w:szCs w:val="32"/>
          <w:lang w:eastAsia="zh-CN"/>
        </w:rPr>
        <w:t>，</w:t>
      </w:r>
      <w:r>
        <w:rPr>
          <w:rFonts w:hint="eastAsia" w:ascii="仿宋" w:hAnsi="仿宋" w:eastAsia="仿宋" w:cs="仿宋"/>
          <w:sz w:val="32"/>
          <w:szCs w:val="32"/>
        </w:rPr>
        <w:t>一种新的规律</w:t>
      </w:r>
      <w:r>
        <w:rPr>
          <w:rFonts w:hint="eastAsia" w:ascii="仿宋" w:hAnsi="仿宋" w:eastAsia="仿宋" w:cs="仿宋"/>
          <w:sz w:val="32"/>
          <w:szCs w:val="32"/>
          <w:lang w:eastAsia="zh-CN"/>
        </w:rPr>
        <w:t>。</w:t>
      </w:r>
      <w:r>
        <w:rPr>
          <w:rFonts w:hint="eastAsia" w:ascii="仿宋" w:hAnsi="仿宋" w:eastAsia="仿宋" w:cs="仿宋"/>
          <w:sz w:val="32"/>
          <w:szCs w:val="32"/>
        </w:rPr>
        <w:t>平台建立了发现问题、收集问题、受理问题、移交问题、解决问题、问题反馈六大步骤，构成了以问题流向为视角的闭环管理。调动全员参与积极性的创新。一是制度创新。二是迅速解决提出的问题。三是对反映问题的个人给予奖励，以此来激励大众的持续参与热情。激励各单位（部门）积极解决问题的创新。本项目具有可复制可推广性一是技术手段成熟，智能手机普及; 二是信息化平台工具比较多，如微信公众号、微信小程序、手机 APP、网站、邮箱等，可以根据个人喜好来进行选择。三是群众参与意愿强烈，充分体现公众当家作主的权利; 四是经费投入少，只需要信息化软件的投入，费用不高，人员成本不多，不需要过多的管理人员。五是本项目应用领域广泛，可以应用于单位、行业，乃至城市综合治理等各个领域。六是见效快、效果好。总之，低成本，高收益!</w:t>
      </w:r>
    </w:p>
    <w:p>
      <w:pPr>
        <w:ind w:firstLine="64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应用情况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以信息化为依托的人人参与的治理平台的应用，2015 年</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月在辽宁省人民医院开展。当时为该平台起名为“你发现，我改变，爱省医，随手拍”。“随手拍”在辽宁省人民医院的发展建设中起到了重要作用，也吸引了同行与跨行业的单位来学习，随后相继开展起来。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主要应用单位情况表</w:t>
      </w:r>
    </w:p>
    <w:tbl>
      <w:tblPr>
        <w:tblStyle w:val="4"/>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793"/>
        <w:gridCol w:w="1699"/>
        <w:gridCol w:w="2463"/>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pStyle w:val="7"/>
              <w:spacing w:before="0"/>
              <w:ind w:left="182"/>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7"/>
              <w:spacing w:before="0"/>
              <w:ind w:left="163"/>
              <w:jc w:val="center"/>
              <w:rPr>
                <w:rFonts w:hint="eastAsia" w:ascii="宋体" w:hAnsi="宋体" w:eastAsia="宋体" w:cs="宋体"/>
                <w:sz w:val="21"/>
                <w:szCs w:val="21"/>
              </w:rPr>
            </w:pPr>
            <w:r>
              <w:rPr>
                <w:rFonts w:hint="eastAsia" w:ascii="宋体" w:hAnsi="宋体" w:eastAsia="宋体" w:cs="宋体"/>
                <w:sz w:val="21"/>
                <w:szCs w:val="21"/>
              </w:rPr>
              <w:t>单位</w:t>
            </w:r>
          </w:p>
          <w:p>
            <w:pPr>
              <w:pStyle w:val="7"/>
              <w:spacing w:before="0"/>
              <w:ind w:left="163"/>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7"/>
              <w:spacing w:before="0"/>
              <w:ind w:left="250"/>
              <w:jc w:val="center"/>
              <w:rPr>
                <w:rFonts w:hint="eastAsia" w:ascii="宋体" w:hAnsi="宋体" w:eastAsia="宋体" w:cs="宋体"/>
                <w:sz w:val="21"/>
                <w:szCs w:val="21"/>
              </w:rPr>
            </w:pPr>
            <w:r>
              <w:rPr>
                <w:rFonts w:hint="eastAsia" w:ascii="宋体" w:hAnsi="宋体" w:eastAsia="宋体" w:cs="宋体"/>
                <w:sz w:val="21"/>
                <w:szCs w:val="21"/>
              </w:rPr>
              <w:t>应用的技术</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351" w:right="343"/>
              <w:jc w:val="center"/>
              <w:rPr>
                <w:rFonts w:hint="eastAsia" w:ascii="宋体" w:hAnsi="宋体" w:eastAsia="宋体" w:cs="宋体"/>
                <w:sz w:val="21"/>
                <w:szCs w:val="21"/>
              </w:rPr>
            </w:pPr>
            <w:r>
              <w:rPr>
                <w:rFonts w:hint="eastAsia" w:ascii="宋体" w:hAnsi="宋体" w:eastAsia="宋体" w:cs="宋体"/>
                <w:sz w:val="21"/>
                <w:szCs w:val="21"/>
              </w:rPr>
              <w:t>应用对象</w:t>
            </w:r>
          </w:p>
          <w:p>
            <w:pPr>
              <w:pStyle w:val="7"/>
              <w:spacing w:before="163"/>
              <w:ind w:left="351" w:right="343"/>
              <w:jc w:val="center"/>
              <w:rPr>
                <w:rFonts w:hint="eastAsia" w:ascii="宋体" w:hAnsi="宋体" w:eastAsia="宋体" w:cs="宋体"/>
                <w:sz w:val="21"/>
                <w:szCs w:val="21"/>
              </w:rPr>
            </w:pPr>
            <w:r>
              <w:rPr>
                <w:rFonts w:hint="eastAsia" w:ascii="宋体" w:hAnsi="宋体" w:eastAsia="宋体" w:cs="宋体"/>
                <w:sz w:val="21"/>
                <w:szCs w:val="21"/>
              </w:rPr>
              <w:t>及规模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7"/>
              <w:spacing w:before="0"/>
              <w:ind w:left="122"/>
              <w:jc w:val="center"/>
              <w:rPr>
                <w:rFonts w:hint="eastAsia" w:ascii="宋体" w:hAnsi="宋体" w:eastAsia="宋体" w:cs="宋体"/>
                <w:sz w:val="21"/>
                <w:szCs w:val="21"/>
              </w:rPr>
            </w:pPr>
            <w:r>
              <w:rPr>
                <w:rFonts w:hint="eastAsia" w:ascii="宋体" w:hAnsi="宋体" w:eastAsia="宋体" w:cs="宋体"/>
                <w:sz w:val="21"/>
                <w:szCs w:val="21"/>
              </w:rPr>
              <w:t>应用起止时间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pStyle w:val="7"/>
              <w:spacing w:before="97"/>
              <w:ind w:left="105"/>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05"/>
              <w:jc w:val="center"/>
              <w:rPr>
                <w:rFonts w:hint="eastAsia" w:ascii="宋体" w:hAnsi="宋体" w:eastAsia="宋体" w:cs="宋体"/>
                <w:sz w:val="21"/>
                <w:szCs w:val="21"/>
              </w:rPr>
            </w:pPr>
            <w:r>
              <w:rPr>
                <w:rFonts w:hint="eastAsia" w:ascii="宋体" w:hAnsi="宋体" w:eastAsia="宋体" w:cs="宋体"/>
                <w:sz w:val="21"/>
                <w:szCs w:val="21"/>
              </w:rPr>
              <w:t>辽宁省人民医院</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spacing w:before="97"/>
              <w:ind w:left="110"/>
              <w:jc w:val="center"/>
              <w:rPr>
                <w:rFonts w:hint="eastAsia" w:ascii="宋体" w:hAnsi="宋体" w:eastAsia="宋体" w:cs="宋体"/>
                <w:sz w:val="21"/>
                <w:szCs w:val="21"/>
              </w:rPr>
            </w:pPr>
            <w:r>
              <w:rPr>
                <w:rFonts w:hint="eastAsia" w:ascii="宋体" w:hAnsi="宋体" w:eastAsia="宋体" w:cs="宋体"/>
                <w:sz w:val="21"/>
                <w:szCs w:val="21"/>
              </w:rPr>
              <w:t>以信息化为依托的人人参与的治理平台</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11"/>
              <w:jc w:val="center"/>
              <w:rPr>
                <w:rFonts w:hint="eastAsia" w:ascii="宋体" w:hAnsi="宋体" w:eastAsia="宋体" w:cs="宋体"/>
                <w:sz w:val="21"/>
                <w:szCs w:val="21"/>
              </w:rPr>
            </w:pPr>
            <w:r>
              <w:rPr>
                <w:rFonts w:hint="eastAsia" w:ascii="宋体" w:hAnsi="宋体" w:eastAsia="宋体" w:cs="宋体"/>
                <w:sz w:val="21"/>
                <w:szCs w:val="21"/>
              </w:rPr>
              <w:t>面向全院员工与患者三甲医院2000 张床位</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07"/>
              <w:jc w:val="center"/>
              <w:rPr>
                <w:rFonts w:hint="eastAsia" w:ascii="宋体" w:hAnsi="宋体" w:eastAsia="宋体" w:cs="宋体"/>
                <w:sz w:val="21"/>
                <w:szCs w:val="21"/>
                <w:lang w:val="en-US" w:eastAsia="zh-CN"/>
              </w:rPr>
            </w:pPr>
            <w:r>
              <w:rPr>
                <w:rFonts w:hint="eastAsia" w:ascii="宋体" w:hAnsi="宋体" w:eastAsia="宋体" w:cs="宋体"/>
                <w:sz w:val="21"/>
                <w:szCs w:val="21"/>
              </w:rPr>
              <w:t>2015</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8 </w:t>
            </w:r>
            <w:r>
              <w:rPr>
                <w:rFonts w:hint="eastAsia" w:ascii="宋体" w:hAnsi="宋体" w:eastAsia="宋体" w:cs="宋体"/>
                <w:sz w:val="21"/>
                <w:szCs w:val="21"/>
                <w:lang w:eastAsia="zh-CN"/>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pStyle w:val="7"/>
              <w:spacing w:before="97"/>
              <w:ind w:left="105"/>
              <w:jc w:val="center"/>
              <w:rPr>
                <w:rFonts w:hint="eastAsia" w:ascii="宋体" w:hAnsi="宋体" w:eastAsia="宋体" w:cs="宋体"/>
                <w:sz w:val="21"/>
                <w:szCs w:val="21"/>
              </w:rPr>
            </w:pPr>
            <w:r>
              <w:rPr>
                <w:rFonts w:hint="eastAsia" w:ascii="宋体" w:hAnsi="宋体" w:eastAsia="宋体" w:cs="宋体"/>
                <w:sz w:val="21"/>
                <w:szCs w:val="21"/>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05"/>
              <w:jc w:val="center"/>
              <w:rPr>
                <w:rFonts w:hint="eastAsia" w:ascii="宋体" w:hAnsi="宋体" w:eastAsia="宋体" w:cs="宋体"/>
                <w:sz w:val="21"/>
                <w:szCs w:val="21"/>
              </w:rPr>
            </w:pPr>
            <w:r>
              <w:rPr>
                <w:rFonts w:hint="eastAsia" w:ascii="宋体" w:hAnsi="宋体" w:eastAsia="宋体" w:cs="宋体"/>
                <w:sz w:val="21"/>
                <w:szCs w:val="21"/>
              </w:rPr>
              <w:t>陕西省渭南市中心医院</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spacing w:before="97"/>
              <w:ind w:left="110"/>
              <w:jc w:val="center"/>
              <w:rPr>
                <w:rFonts w:hint="eastAsia" w:ascii="宋体" w:hAnsi="宋体" w:eastAsia="宋体" w:cs="宋体"/>
                <w:sz w:val="21"/>
                <w:szCs w:val="21"/>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11"/>
              <w:jc w:val="center"/>
              <w:rPr>
                <w:rFonts w:hint="eastAsia" w:ascii="宋体" w:hAnsi="宋体" w:eastAsia="宋体" w:cs="宋体"/>
                <w:sz w:val="21"/>
                <w:szCs w:val="21"/>
              </w:rPr>
            </w:pPr>
            <w:r>
              <w:rPr>
                <w:rFonts w:hint="eastAsia" w:ascii="宋体" w:hAnsi="宋体" w:eastAsia="宋体" w:cs="宋体"/>
                <w:sz w:val="21"/>
                <w:szCs w:val="21"/>
              </w:rPr>
              <w:t>面向全院员工与患者三甲医院1200 张床位</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07"/>
              <w:jc w:val="center"/>
              <w:rPr>
                <w:rFonts w:hint="eastAsia" w:ascii="宋体" w:hAnsi="宋体" w:eastAsia="宋体" w:cs="宋体"/>
                <w:sz w:val="21"/>
                <w:szCs w:val="21"/>
              </w:rPr>
            </w:pPr>
            <w:r>
              <w:rPr>
                <w:rFonts w:hint="eastAsia" w:ascii="宋体" w:hAnsi="宋体" w:eastAsia="宋体" w:cs="宋体"/>
                <w:sz w:val="21"/>
                <w:szCs w:val="21"/>
              </w:rPr>
              <w:t>2018</w:t>
            </w:r>
            <w:r>
              <w:rPr>
                <w:rFonts w:hint="eastAsia" w:ascii="宋体" w:hAnsi="宋体" w:eastAsia="宋体" w:cs="宋体"/>
                <w:sz w:val="21"/>
                <w:szCs w:val="21"/>
                <w:lang w:val="en-US" w:eastAsia="zh-CN"/>
              </w:rPr>
              <w:t>.</w:t>
            </w:r>
            <w:r>
              <w:rPr>
                <w:rFonts w:hint="eastAsia" w:ascii="宋体" w:hAnsi="宋体" w:eastAsia="宋体" w:cs="宋体"/>
                <w:sz w:val="21"/>
                <w:szCs w:val="21"/>
              </w:rPr>
              <w:t>11</w:t>
            </w:r>
            <w:r>
              <w:rPr>
                <w:rFonts w:hint="eastAsia" w:ascii="宋体" w:hAnsi="宋体" w:eastAsia="宋体" w:cs="宋体"/>
                <w:sz w:val="21"/>
                <w:szCs w:val="21"/>
                <w:lang w:eastAsia="zh-CN"/>
              </w:rPr>
              <w:t>至今</w:t>
            </w:r>
            <w:r>
              <w:rPr>
                <w:rFonts w:hint="eastAsia" w:ascii="宋体" w:hAnsi="宋体" w:eastAsia="宋体" w:cs="宋体"/>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pStyle w:val="7"/>
              <w:spacing w:before="102"/>
              <w:ind w:left="105"/>
              <w:jc w:val="center"/>
              <w:rPr>
                <w:rFonts w:hint="eastAsia" w:ascii="宋体" w:hAnsi="宋体" w:eastAsia="宋体" w:cs="宋体"/>
                <w:sz w:val="21"/>
                <w:szCs w:val="21"/>
              </w:rPr>
            </w:pPr>
            <w:r>
              <w:rPr>
                <w:rFonts w:hint="eastAsia" w:ascii="宋体" w:hAnsi="宋体" w:eastAsia="宋体" w:cs="宋体"/>
                <w:sz w:val="21"/>
                <w:szCs w:val="21"/>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7"/>
              <w:spacing w:before="86"/>
              <w:ind w:left="105"/>
              <w:jc w:val="center"/>
              <w:rPr>
                <w:rFonts w:hint="eastAsia" w:ascii="宋体" w:hAnsi="宋体" w:eastAsia="宋体" w:cs="宋体"/>
                <w:sz w:val="21"/>
                <w:szCs w:val="21"/>
              </w:rPr>
            </w:pPr>
            <w:r>
              <w:rPr>
                <w:rFonts w:hint="eastAsia" w:ascii="宋体" w:hAnsi="宋体" w:eastAsia="宋体" w:cs="宋体"/>
                <w:sz w:val="21"/>
                <w:szCs w:val="21"/>
              </w:rPr>
              <w:t>锦州市黑山县镇安镇营坊村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spacing w:before="101"/>
              <w:ind w:left="110"/>
              <w:jc w:val="center"/>
              <w:rPr>
                <w:rFonts w:hint="eastAsia" w:ascii="宋体" w:hAnsi="宋体" w:eastAsia="宋体" w:cs="宋体"/>
                <w:sz w:val="21"/>
                <w:szCs w:val="21"/>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pStyle w:val="7"/>
              <w:spacing w:before="86"/>
              <w:ind w:left="111"/>
              <w:jc w:val="center"/>
              <w:rPr>
                <w:rFonts w:hint="eastAsia" w:ascii="宋体" w:hAnsi="宋体" w:eastAsia="宋体" w:cs="宋体"/>
                <w:sz w:val="21"/>
                <w:szCs w:val="21"/>
              </w:rPr>
            </w:pPr>
            <w:r>
              <w:rPr>
                <w:rFonts w:hint="eastAsia" w:ascii="宋体" w:hAnsi="宋体" w:eastAsia="宋体" w:cs="宋体"/>
                <w:sz w:val="21"/>
                <w:szCs w:val="21"/>
              </w:rPr>
              <w:t>村民人口 1476 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7"/>
              <w:spacing w:before="86"/>
              <w:ind w:left="107"/>
              <w:jc w:val="center"/>
              <w:rPr>
                <w:rFonts w:hint="eastAsia" w:ascii="宋体" w:hAnsi="宋体" w:eastAsia="宋体" w:cs="宋体"/>
                <w:sz w:val="21"/>
                <w:szCs w:val="21"/>
              </w:rPr>
            </w:pPr>
            <w:r>
              <w:rPr>
                <w:rFonts w:hint="eastAsia" w:ascii="宋体" w:hAnsi="宋体" w:eastAsia="宋体" w:cs="宋体"/>
                <w:sz w:val="21"/>
                <w:szCs w:val="21"/>
              </w:rPr>
              <w:t>2018</w:t>
            </w:r>
            <w:r>
              <w:rPr>
                <w:rFonts w:hint="eastAsia" w:ascii="宋体" w:hAnsi="宋体" w:eastAsia="宋体" w:cs="宋体"/>
                <w:sz w:val="21"/>
                <w:szCs w:val="21"/>
                <w:lang w:val="en-US" w:eastAsia="zh-CN"/>
              </w:rPr>
              <w:t>.</w:t>
            </w:r>
            <w:r>
              <w:rPr>
                <w:rFonts w:hint="eastAsia" w:ascii="宋体" w:hAnsi="宋体" w:eastAsia="宋体" w:cs="宋体"/>
                <w:sz w:val="21"/>
                <w:szCs w:val="21"/>
              </w:rPr>
              <w:t>5</w:t>
            </w:r>
            <w:r>
              <w:rPr>
                <w:rFonts w:hint="eastAsia" w:ascii="宋体" w:hAnsi="宋体" w:eastAsia="宋体" w:cs="宋体"/>
                <w:sz w:val="21"/>
                <w:szCs w:val="21"/>
                <w:lang w:eastAsia="zh-CN"/>
              </w:rPr>
              <w:t>至今</w:t>
            </w:r>
            <w:r>
              <w:rPr>
                <w:rFonts w:hint="eastAsia" w:ascii="宋体" w:hAnsi="宋体" w:eastAsia="宋体" w:cs="宋体"/>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pStyle w:val="7"/>
              <w:spacing w:before="97"/>
              <w:ind w:left="105"/>
              <w:jc w:val="center"/>
              <w:rPr>
                <w:rFonts w:hint="eastAsia" w:ascii="宋体" w:hAnsi="宋体" w:eastAsia="宋体" w:cs="宋体"/>
                <w:sz w:val="21"/>
                <w:szCs w:val="21"/>
              </w:rPr>
            </w:pPr>
            <w:r>
              <w:rPr>
                <w:rFonts w:hint="eastAsia" w:ascii="宋体" w:hAnsi="宋体" w:eastAsia="宋体" w:cs="宋体"/>
                <w:sz w:val="21"/>
                <w:szCs w:val="21"/>
              </w:rPr>
              <w:t>4</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05"/>
              <w:jc w:val="center"/>
              <w:rPr>
                <w:rFonts w:hint="eastAsia" w:ascii="宋体" w:hAnsi="宋体" w:eastAsia="宋体" w:cs="宋体"/>
                <w:sz w:val="21"/>
                <w:szCs w:val="21"/>
              </w:rPr>
            </w:pPr>
            <w:r>
              <w:rPr>
                <w:rFonts w:hint="eastAsia" w:ascii="宋体" w:hAnsi="宋体" w:eastAsia="宋体" w:cs="宋体"/>
                <w:sz w:val="21"/>
                <w:szCs w:val="21"/>
              </w:rPr>
              <w:t>黑山县英城子乡大豆屯村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spacing w:before="97"/>
              <w:ind w:left="110"/>
              <w:jc w:val="center"/>
              <w:rPr>
                <w:rFonts w:hint="eastAsia" w:ascii="宋体" w:hAnsi="宋体" w:eastAsia="宋体" w:cs="宋体"/>
                <w:sz w:val="21"/>
                <w:szCs w:val="21"/>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11"/>
              <w:jc w:val="center"/>
              <w:rPr>
                <w:rFonts w:hint="eastAsia" w:ascii="宋体" w:hAnsi="宋体" w:eastAsia="宋体" w:cs="宋体"/>
                <w:sz w:val="21"/>
                <w:szCs w:val="21"/>
              </w:rPr>
            </w:pPr>
            <w:r>
              <w:rPr>
                <w:rFonts w:hint="eastAsia" w:ascii="宋体" w:hAnsi="宋体" w:eastAsia="宋体" w:cs="宋体"/>
                <w:sz w:val="21"/>
                <w:szCs w:val="21"/>
              </w:rPr>
              <w:t>村民人口 962 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7"/>
              <w:spacing w:before="81"/>
              <w:ind w:left="107"/>
              <w:jc w:val="center"/>
              <w:rPr>
                <w:rFonts w:hint="eastAsia" w:ascii="宋体" w:hAnsi="宋体" w:eastAsia="宋体" w:cs="宋体"/>
                <w:sz w:val="21"/>
                <w:szCs w:val="21"/>
              </w:rPr>
            </w:pPr>
            <w:r>
              <w:rPr>
                <w:rFonts w:hint="eastAsia" w:ascii="宋体" w:hAnsi="宋体" w:eastAsia="宋体" w:cs="宋体"/>
                <w:sz w:val="21"/>
                <w:szCs w:val="21"/>
              </w:rPr>
              <w:t>2020</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至今</w:t>
            </w:r>
            <w:r>
              <w:rPr>
                <w:rFonts w:hint="eastAsia" w:ascii="宋体" w:hAnsi="宋体" w:eastAsia="宋体" w:cs="宋体"/>
                <w:sz w:val="21"/>
                <w:szCs w:val="21"/>
              </w:rPr>
              <w:t xml:space="preserve"> </w:t>
            </w:r>
          </w:p>
        </w:tc>
      </w:tr>
    </w:tbl>
    <w:p>
      <w:pPr>
        <w:ind w:left="643" w:hanging="643" w:hangingChars="200"/>
        <w:jc w:val="both"/>
        <w:rPr>
          <w:rFonts w:hint="eastAsia" w:ascii="仿宋" w:hAnsi="仿宋" w:eastAsia="仿宋" w:cs="仿宋"/>
          <w:b/>
          <w:bCs/>
          <w:sz w:val="32"/>
          <w:szCs w:val="32"/>
          <w:lang w:val="en-US" w:eastAsia="zh-CN"/>
        </w:rPr>
      </w:pPr>
    </w:p>
    <w:p>
      <w:pPr>
        <w:ind w:left="643" w:hanging="643" w:hanging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候选项目7：</w:t>
      </w:r>
    </w:p>
    <w:p>
      <w:pPr>
        <w:ind w:left="643" w:hanging="643" w:hanging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骨肉瘤恶性行为的分子机制及综合治疗</w:t>
      </w:r>
    </w:p>
    <w:p>
      <w:pPr>
        <w:ind w:left="640" w:leftChars="305"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一、申报单位：</w:t>
      </w:r>
      <w:r>
        <w:rPr>
          <w:rFonts w:hint="eastAsia" w:ascii="仿宋" w:hAnsi="仿宋" w:eastAsia="仿宋" w:cs="仿宋"/>
          <w:sz w:val="32"/>
          <w:szCs w:val="32"/>
          <w:lang w:val="en-US" w:eastAsia="zh-CN"/>
        </w:rPr>
        <w:t>辽宁省肿瘤医院</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二、主要完成人：</w:t>
      </w:r>
      <w:r>
        <w:rPr>
          <w:rFonts w:hint="eastAsia" w:ascii="仿宋" w:hAnsi="仿宋" w:eastAsia="仿宋" w:cs="仿宋"/>
          <w:sz w:val="32"/>
          <w:szCs w:val="32"/>
          <w:lang w:val="en-US" w:eastAsia="zh-CN"/>
        </w:rPr>
        <w:t>李盛龙、王巍、裴祎、刘霏、张晓晶</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kern w:val="0"/>
          <w:sz w:val="32"/>
          <w:szCs w:val="32"/>
          <w:lang w:val="en-US" w:eastAsia="zh-CN" w:bidi="ar-SA"/>
        </w:rPr>
        <w:t>三、</w:t>
      </w:r>
      <w:r>
        <w:rPr>
          <w:rFonts w:hint="eastAsia" w:ascii="仿宋" w:hAnsi="仿宋" w:eastAsia="仿宋" w:cs="仿宋"/>
          <w:b/>
          <w:bCs/>
          <w:color w:val="0D0D0D"/>
          <w:kern w:val="0"/>
          <w:sz w:val="32"/>
          <w:szCs w:val="32"/>
          <w:lang w:val="en-US" w:eastAsia="zh-CN" w:bidi="ar"/>
        </w:rPr>
        <w:t>提名奖项及等级</w:t>
      </w:r>
      <w:r>
        <w:rPr>
          <w:rFonts w:hint="eastAsia" w:ascii="仿宋" w:hAnsi="仿宋" w:eastAsia="仿宋" w:cs="仿宋"/>
          <w:b/>
          <w:kern w:val="0"/>
          <w:sz w:val="32"/>
          <w:szCs w:val="32"/>
          <w:lang w:val="en-US" w:eastAsia="zh-CN" w:bidi="ar-SA"/>
        </w:rPr>
        <w:t>：</w:t>
      </w:r>
      <w:r>
        <w:rPr>
          <w:rFonts w:hint="eastAsia" w:ascii="仿宋" w:hAnsi="仿宋" w:eastAsia="仿宋" w:cs="仿宋"/>
          <w:sz w:val="32"/>
          <w:szCs w:val="32"/>
          <w:lang w:val="en-US" w:eastAsia="zh-CN"/>
        </w:rPr>
        <w:t>省自然科学三等奖</w:t>
      </w:r>
    </w:p>
    <w:p>
      <w:pPr>
        <w:pStyle w:val="2"/>
        <w:ind w:left="0" w:leftChars="0" w:firstLine="643" w:firstLineChars="200"/>
        <w:jc w:val="both"/>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四</w:t>
      </w:r>
      <w:r>
        <w:rPr>
          <w:rFonts w:hint="eastAsia" w:ascii="仿宋" w:hAnsi="仿宋" w:eastAsia="仿宋" w:cs="仿宋"/>
          <w:b/>
          <w:sz w:val="32"/>
          <w:szCs w:val="32"/>
        </w:rPr>
        <w:t>、项目简介</w:t>
      </w:r>
      <w:r>
        <w:rPr>
          <w:rFonts w:hint="eastAsia" w:ascii="仿宋" w:hAnsi="仿宋" w:eastAsia="仿宋" w:cs="仿宋"/>
          <w:b/>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骨肉瘤(Oseteosarcoma)亦称为成骨肉瘤，是一种常见于儿童和青少年时期的恶性原发性骨肿瘤。近年来，随着分子生物学研究和技术的不断发展，骨肉瘤的最新研究已进入基因治疗、靶向治疗阶段，从分子水平研究肿瘤中相关基因的表达对肿瘤的发生、演变、转归及治疗具有重要意义。传统意义上的肿瘤靶向治疗可以分为三个阶段,包括器官靶向治疗、细胞靶向治疗、分子靶向治疗。其中分子靶向治疗具有较高特异性。目前在肿瘤生物基因靶向治疗及信号转导通路作用机制的研究方面出现了许多新的进展，从全身广泛的放化疗到针对局部肿瘤组织的精确分子靶向治疗，可以降低传统治疗所带来的全身不良翻译，这对骨肉瘤的预防和治疗提供了新的方法和途径。非编码 RNA 指不编码蛋白质的 RNA，近年来非编码 RNA 的研究持续升温。甲状旁腺激素 1（PTHR1）是一种典型的内分泌激素，是调节血钙水平的关键因子，对维持机体离子稳态和骨骼健全至关重要。近年来有研究表明， PTHR1 对于肿瘤的发生发展具有相当作用。本项目亦揭示了 PTHR1 对于骨肉瘤的影响及其可能的作用机制，为骨肉瘤的靶向治疗提供参考。</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五、重要科学发现 </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通过对环状 RNA 的研究寻找骨肉瘤治疗新靶点。通过对长非编码 RNA 的研究寻找骨肉瘤治疗新靶点。microRNA 对骨肉瘤生物学行为的研究。通过抑制 PTHR1 表达来降低骨肉瘤细胞活性。靶向调控 CDC 基因对骨肉瘤的作用。靶向治疗对顺铂治疗骨肉瘤敏感性的影响。</w:t>
      </w:r>
    </w:p>
    <w:p>
      <w:pPr>
        <w:ind w:left="643" w:hanging="643" w:hangingChars="200"/>
        <w:jc w:val="center"/>
        <w:rPr>
          <w:rFonts w:hint="eastAsia" w:ascii="仿宋" w:hAnsi="仿宋" w:eastAsia="仿宋" w:cs="仿宋"/>
          <w:b/>
          <w:bCs/>
          <w:sz w:val="32"/>
          <w:szCs w:val="32"/>
          <w:lang w:val="en-US" w:eastAsia="zh-CN"/>
        </w:rPr>
      </w:pPr>
    </w:p>
    <w:p>
      <w:pPr>
        <w:ind w:left="643" w:hanging="643" w:hanging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候选项目8：</w:t>
      </w:r>
    </w:p>
    <w:p>
      <w:pPr>
        <w:ind w:left="643" w:hanging="643" w:hanging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常见恶性肿瘤遗传不稳定性研究与微卫星不稳定性检测</w:t>
      </w:r>
    </w:p>
    <w:p>
      <w:pPr>
        <w:ind w:left="640" w:leftChars="305"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一、申报单位：</w:t>
      </w:r>
      <w:r>
        <w:rPr>
          <w:rFonts w:hint="eastAsia" w:ascii="仿宋" w:hAnsi="仿宋" w:eastAsia="仿宋" w:cs="仿宋"/>
          <w:sz w:val="32"/>
          <w:szCs w:val="32"/>
          <w:lang w:val="en-US" w:eastAsia="zh-CN"/>
        </w:rPr>
        <w:t>辽宁省肿瘤医院</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二、主要完成人：</w:t>
      </w:r>
      <w:r>
        <w:rPr>
          <w:rFonts w:hint="eastAsia" w:ascii="仿宋" w:hAnsi="仿宋" w:eastAsia="仿宋" w:cs="仿宋"/>
          <w:sz w:val="32"/>
          <w:szCs w:val="32"/>
          <w:lang w:val="en-US" w:eastAsia="zh-CN"/>
        </w:rPr>
        <w:t>赵岩、郑志超、张剑军、张涛</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kern w:val="0"/>
          <w:sz w:val="32"/>
          <w:szCs w:val="32"/>
          <w:lang w:val="en-US" w:eastAsia="zh-CN" w:bidi="ar-SA"/>
        </w:rPr>
        <w:t>三、</w:t>
      </w:r>
      <w:r>
        <w:rPr>
          <w:rFonts w:hint="eastAsia" w:ascii="仿宋" w:hAnsi="仿宋" w:eastAsia="仿宋" w:cs="仿宋"/>
          <w:b/>
          <w:bCs/>
          <w:color w:val="0D0D0D"/>
          <w:kern w:val="0"/>
          <w:sz w:val="32"/>
          <w:szCs w:val="32"/>
          <w:lang w:val="en-US" w:eastAsia="zh-CN" w:bidi="ar"/>
        </w:rPr>
        <w:t>提名奖项及等级</w:t>
      </w:r>
      <w:r>
        <w:rPr>
          <w:rFonts w:hint="eastAsia" w:ascii="仿宋" w:hAnsi="仿宋" w:eastAsia="仿宋" w:cs="仿宋"/>
          <w:b/>
          <w:kern w:val="0"/>
          <w:sz w:val="32"/>
          <w:szCs w:val="32"/>
          <w:lang w:val="en-US" w:eastAsia="zh-CN" w:bidi="ar-SA"/>
        </w:rPr>
        <w:t>：</w:t>
      </w:r>
      <w:r>
        <w:rPr>
          <w:rFonts w:hint="eastAsia" w:ascii="仿宋" w:hAnsi="仿宋" w:eastAsia="仿宋" w:cs="仿宋"/>
          <w:sz w:val="32"/>
          <w:szCs w:val="32"/>
          <w:lang w:val="en-US" w:eastAsia="zh-CN"/>
        </w:rPr>
        <w:t>省自然科学三等奖</w:t>
      </w:r>
    </w:p>
    <w:p>
      <w:pPr>
        <w:pStyle w:val="2"/>
        <w:ind w:left="0" w:leftChars="0" w:firstLine="643" w:firstLineChars="200"/>
        <w:jc w:val="both"/>
        <w:outlineLvl w:val="1"/>
        <w:rPr>
          <w:rFonts w:hint="eastAsia" w:ascii="仿宋" w:hAnsi="仿宋" w:eastAsia="仿宋" w:cs="仿宋"/>
          <w:b/>
          <w:sz w:val="32"/>
          <w:szCs w:val="32"/>
          <w:lang w:eastAsia="zh-CN"/>
        </w:rPr>
      </w:pPr>
      <w:r>
        <w:rPr>
          <w:rFonts w:hint="eastAsia" w:ascii="仿宋" w:hAnsi="仿宋" w:eastAsia="仿宋" w:cs="仿宋"/>
          <w:b/>
          <w:sz w:val="32"/>
          <w:szCs w:val="32"/>
          <w:lang w:eastAsia="zh-CN"/>
        </w:rPr>
        <w:t>四</w:t>
      </w:r>
      <w:r>
        <w:rPr>
          <w:rFonts w:hint="eastAsia" w:ascii="仿宋" w:hAnsi="仿宋" w:eastAsia="仿宋" w:cs="仿宋"/>
          <w:b/>
          <w:sz w:val="32"/>
          <w:szCs w:val="32"/>
        </w:rPr>
        <w:t>、项目简介</w:t>
      </w:r>
      <w:r>
        <w:rPr>
          <w:rFonts w:hint="eastAsia" w:ascii="仿宋" w:hAnsi="仿宋" w:eastAsia="仿宋" w:cs="仿宋"/>
          <w:b/>
          <w:sz w:val="32"/>
          <w:szCs w:val="32"/>
          <w:lang w:eastAsia="zh-CN"/>
        </w:rPr>
        <w:t>：</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恶性肿瘤是严重危害人类健康的遗传学疾病。肿瘤的遗传不稳定性一直备受关注，因为遗传不稳定性是肿瘤的发生的基础，与肿瘤的个体化诊断与治疗等关键问题具都有重要的科学意义和应用价值。微卫星是真核生物基因组中的短重复DNA 序列，与 DNA 错配修复基因（MMR）缺陷密切相关。本项目创新点如下：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项目进一步优化了高通量双荧光微卫星不稳定性检测体系。揭示结直肠癌DNA错配修复(MMR)基因MLH1的异常与MSI及基因突的关系。研究揭示直肠癌发病部位的临床特征与遗传学表型的关联。研究胃癌的遗传不稳定性及其临床意义。对消化道恶性肿瘤遗传不稳定性的连续性比较研究。</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本项目聚焦恶性肿瘤本质特征，构建并优化了 MSI 与 CIN 的检测方法学。通过充分的基础研究，探索 MSI 的本质，提出肿瘤发生的两种发生途径，即 MSI途径与 CIN 途径。本项目在日本癌症学会年会 JCA 等重要学会多次口头报告，并代表中国抗癌协会在 2014 年国际抗癌大会口头发表研究成果受到高度重视。本项目成果被同行引用 299 次。在免疫治疗的时代，MSI 的研究进一步受到关注，项目组前期研究被后续研究反复印证，证实其科学性和可信性。进一步开展 MSI机制研究仍然具有重要临床价值。</w:t>
      </w:r>
    </w:p>
    <w:p>
      <w:pPr>
        <w:ind w:left="0" w:leftChars="0" w:firstLine="643" w:firstLineChars="200"/>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五、重要科学发现</w:t>
      </w:r>
    </w:p>
    <w:p>
      <w:pPr>
        <w:ind w:left="0" w:leftChars="0" w:firstLine="640" w:firstLineChars="200"/>
        <w:rPr>
          <w:sz w:val="32"/>
          <w:szCs w:val="32"/>
        </w:rPr>
      </w:pPr>
      <w:r>
        <w:rPr>
          <w:rFonts w:hint="eastAsia" w:ascii="仿宋" w:hAnsi="仿宋" w:eastAsia="仿宋" w:cs="仿宋"/>
          <w:sz w:val="32"/>
          <w:szCs w:val="32"/>
          <w:lang w:val="en-US" w:eastAsia="zh-CN"/>
        </w:rPr>
        <w:t>本项目的学科分类为基于遗传学方法所开展的肿瘤病因学研究。通过高精度检测体系的构建，描述人类 MSI 的特征并分型。揭示结直肠癌 DNA 错配修复基因异常与 MSI、癌基因突变关系。研究揭示直肠癌发病部位的临床特征与遗传学表型的关联。研究胃癌的遗传不稳定性及其临床意义。消化道环境中差异与 DNA 损伤修复机制异常的关系。</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85C7A"/>
    <w:rsid w:val="3DD33062"/>
    <w:rsid w:val="6C68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宋体" w:hAnsi="Courier New"/>
      <w:kern w:val="0"/>
      <w:sz w:val="20"/>
      <w:szCs w:val="21"/>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2021-07-13T05:41:00Z</dcterms:created>
  <dc:creator>尚勇</dc:creator>
  <cp:lastModifiedBy>尚勇</cp:lastModifiedBy>
  <dcterms:modified xsi:type="dcterms:W3CDTF">2021-07-14T06:16:37Z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1C5831D548B546A5AF9F711BE6A6EAC1</vt:lpwstr>
  </property>
</Properties>
</file>