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6AC" w:rsidRDefault="001B6162" w:rsidP="00DF118C">
      <w:pPr>
        <w:spacing w:line="60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bookmarkStart w:id="0" w:name="_Hlk514330485"/>
      <w:r>
        <w:rPr>
          <w:rFonts w:ascii="宋体" w:hAnsi="宋体" w:hint="eastAsia"/>
          <w:b/>
          <w:color w:val="000000"/>
          <w:sz w:val="44"/>
          <w:szCs w:val="44"/>
        </w:rPr>
        <w:t>神经系统介入技术</w:t>
      </w:r>
      <w:bookmarkEnd w:id="0"/>
      <w:r>
        <w:rPr>
          <w:rFonts w:ascii="宋体" w:hAnsi="宋体" w:hint="eastAsia"/>
          <w:b/>
          <w:color w:val="000000"/>
          <w:sz w:val="44"/>
          <w:szCs w:val="44"/>
        </w:rPr>
        <w:t>临床应用</w:t>
      </w:r>
    </w:p>
    <w:p w:rsidR="00A956AC" w:rsidRDefault="001B6162" w:rsidP="00DF118C">
      <w:pPr>
        <w:spacing w:line="600" w:lineRule="exact"/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质</w:t>
      </w:r>
      <w:r>
        <w:rPr>
          <w:rFonts w:ascii="宋体" w:hAnsi="宋体" w:hint="eastAsia"/>
          <w:b/>
          <w:color w:val="000000"/>
          <w:sz w:val="44"/>
          <w:szCs w:val="44"/>
        </w:rPr>
        <w:t>量</w:t>
      </w:r>
      <w:r>
        <w:rPr>
          <w:rFonts w:ascii="宋体" w:hAnsi="宋体" w:hint="eastAsia"/>
          <w:b/>
          <w:color w:val="000000"/>
          <w:sz w:val="44"/>
          <w:szCs w:val="44"/>
        </w:rPr>
        <w:t>控</w:t>
      </w:r>
      <w:r>
        <w:rPr>
          <w:rFonts w:ascii="宋体" w:hAnsi="宋体" w:hint="eastAsia"/>
          <w:b/>
          <w:color w:val="000000"/>
          <w:sz w:val="44"/>
          <w:szCs w:val="44"/>
        </w:rPr>
        <w:t>质指标</w:t>
      </w:r>
    </w:p>
    <w:p w:rsidR="00A956AC" w:rsidRPr="00DF118C" w:rsidRDefault="001B6162" w:rsidP="00DF118C">
      <w:pPr>
        <w:spacing w:line="600" w:lineRule="exact"/>
        <w:jc w:val="center"/>
        <w:rPr>
          <w:rFonts w:ascii="楷体" w:eastAsia="楷体" w:hAnsi="楷体" w:cs="楷体"/>
          <w:color w:val="000000"/>
          <w:kern w:val="0"/>
          <w:sz w:val="32"/>
          <w:szCs w:val="32"/>
        </w:rPr>
      </w:pPr>
      <w:r w:rsidRPr="00DF118C">
        <w:rPr>
          <w:rFonts w:ascii="楷体" w:eastAsia="楷体" w:hAnsi="楷体" w:cs="楷体" w:hint="eastAsia"/>
          <w:color w:val="000000"/>
          <w:kern w:val="0"/>
          <w:sz w:val="32"/>
          <w:szCs w:val="32"/>
        </w:rPr>
        <w:t>（</w:t>
      </w:r>
      <w:r w:rsidRPr="00DF118C">
        <w:rPr>
          <w:rFonts w:ascii="楷体" w:eastAsia="楷体" w:hAnsi="楷体" w:cs="楷体" w:hint="eastAsia"/>
          <w:color w:val="000000"/>
          <w:kern w:val="0"/>
          <w:sz w:val="32"/>
          <w:szCs w:val="32"/>
        </w:rPr>
        <w:t>20</w:t>
      </w:r>
      <w:r w:rsidR="00DF118C" w:rsidRPr="00DF118C">
        <w:rPr>
          <w:rFonts w:ascii="楷体" w:eastAsia="楷体" w:hAnsi="楷体" w:cs="楷体" w:hint="eastAsia"/>
          <w:color w:val="000000"/>
          <w:kern w:val="0"/>
          <w:sz w:val="32"/>
          <w:szCs w:val="32"/>
        </w:rPr>
        <w:t>20</w:t>
      </w:r>
      <w:r w:rsidRPr="00DF118C">
        <w:rPr>
          <w:rFonts w:ascii="楷体" w:eastAsia="楷体" w:hAnsi="楷体" w:cs="楷体" w:hint="eastAsia"/>
          <w:color w:val="000000"/>
          <w:kern w:val="0"/>
          <w:sz w:val="32"/>
          <w:szCs w:val="32"/>
        </w:rPr>
        <w:t>年版）</w:t>
      </w:r>
    </w:p>
    <w:p w:rsidR="00A956AC" w:rsidRDefault="00A956AC">
      <w:pPr>
        <w:jc w:val="center"/>
        <w:rPr>
          <w:rFonts w:ascii="宋体" w:hAnsi="宋体" w:cs="宋体"/>
          <w:bCs/>
          <w:kern w:val="0"/>
          <w:sz w:val="32"/>
          <w:szCs w:val="32"/>
        </w:rPr>
      </w:pPr>
    </w:p>
    <w:p w:rsidR="00A956AC" w:rsidRDefault="001B6162">
      <w:pPr>
        <w:pStyle w:val="a3"/>
        <w:numPr>
          <w:ilvl w:val="0"/>
          <w:numId w:val="1"/>
        </w:numPr>
        <w:spacing w:line="360" w:lineRule="auto"/>
        <w:ind w:left="363" w:firstLineChars="0" w:hanging="363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基本设置：三级甲等医院；神经外科床位≥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30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张，具备显微神经外科手术条件，能够独立开展动脉瘤夹闭、血管畸形切除、脑出血清除等手术；神经内科床位≥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张；（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7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分，缺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项扣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分）</w:t>
      </w:r>
    </w:p>
    <w:p w:rsidR="00A956AC" w:rsidRDefault="001B6162">
      <w:pPr>
        <w:pStyle w:val="a3"/>
        <w:numPr>
          <w:ilvl w:val="0"/>
          <w:numId w:val="1"/>
        </w:numPr>
        <w:spacing w:line="360" w:lineRule="auto"/>
        <w:ind w:left="363" w:firstLineChars="0" w:hanging="363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介入手术室（造影室）：符合放射防护及无菌操作条件；配备数字减影血管造影机；具备医学影像图像管理系统；具备气管插管和全身麻醉条件，能够进行心、肺、脑抢救复苏；具备供氧系统、麻醉机、除颤器、吸引器、血氧监测仪等必要的急救设备和药品；具备存放导管、导丝、造影剂、栓塞剂以及其他物品、药品的存放柜，有专人负责登记保管。（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分，缺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项扣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分）</w:t>
      </w:r>
    </w:p>
    <w:p w:rsidR="00A956AC" w:rsidRDefault="001B6162">
      <w:pPr>
        <w:pStyle w:val="a3"/>
        <w:numPr>
          <w:ilvl w:val="0"/>
          <w:numId w:val="1"/>
        </w:numPr>
        <w:spacing w:line="360" w:lineRule="auto"/>
        <w:ind w:left="363" w:firstLineChars="0" w:hanging="363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重症监护室：设置符合相关规范要求，达到Ⅲ级洁净辅助用房标准；病床不少于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张；每病床净使用面积不少于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15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平方米；配备多功能监护仪和呼吸机，能够进行心电图、血压和血氧等项目监测；能够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开展有创颅压监测项目和有创呼吸机治疗；有院内安全转运重症患者的措施和设备；具备经过专业培训的、有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年以上重症监护工作经验的专职医师和护士。（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7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分，缺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项扣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分）</w:t>
      </w:r>
    </w:p>
    <w:p w:rsidR="00A956AC" w:rsidRDefault="001B6162">
      <w:pPr>
        <w:pStyle w:val="a3"/>
        <w:numPr>
          <w:ilvl w:val="0"/>
          <w:numId w:val="1"/>
        </w:numPr>
        <w:spacing w:line="360" w:lineRule="auto"/>
        <w:ind w:left="363" w:firstLineChars="0" w:hanging="363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lastRenderedPageBreak/>
        <w:t>每年完成的神经血管介入诊疗病例≥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30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例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（≥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30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例，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5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分；每增加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5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例，加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分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,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此项满分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10</w:t>
      </w:r>
      <w:r w:rsidRPr="00966399">
        <w:rPr>
          <w:rFonts w:ascii="仿宋" w:eastAsia="仿宋" w:hAnsi="仿宋" w:cs="仿宋" w:hint="eastAsia"/>
          <w:bCs/>
          <w:kern w:val="0"/>
          <w:sz w:val="32"/>
          <w:szCs w:val="32"/>
        </w:rPr>
        <w:t>分）</w:t>
      </w:r>
    </w:p>
    <w:p w:rsidR="00A956AC" w:rsidRDefault="001B6162">
      <w:pPr>
        <w:pStyle w:val="a3"/>
        <w:numPr>
          <w:ilvl w:val="0"/>
          <w:numId w:val="1"/>
        </w:numPr>
        <w:spacing w:line="360" w:lineRule="auto"/>
        <w:ind w:left="363" w:firstLineChars="0" w:hanging="363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每年完成的神经血管介入治疗性病例≥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30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例（（≥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30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例，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分；每增加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例，加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,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此项满分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分）。</w:t>
      </w:r>
    </w:p>
    <w:p w:rsidR="00A956AC" w:rsidRDefault="001B6162">
      <w:pPr>
        <w:pStyle w:val="a3"/>
        <w:numPr>
          <w:ilvl w:val="0"/>
          <w:numId w:val="1"/>
        </w:numPr>
        <w:spacing w:line="360" w:lineRule="auto"/>
        <w:ind w:left="363" w:firstLineChars="0" w:hanging="363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每年与介入治疗操作相关严重并发症发生率≤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6%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；死亡率≤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3%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（满分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分；每项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分；不达标者不得分）</w:t>
      </w:r>
    </w:p>
    <w:p w:rsidR="00A956AC" w:rsidRDefault="001B6162">
      <w:pPr>
        <w:pStyle w:val="a3"/>
        <w:numPr>
          <w:ilvl w:val="0"/>
          <w:numId w:val="1"/>
        </w:numPr>
        <w:spacing w:line="360" w:lineRule="auto"/>
        <w:ind w:left="363" w:firstLineChars="0" w:hanging="363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急诊每年收治急性脑卒中患者数量。（满分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分，每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200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例患者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分，得分不超过总分）</w:t>
      </w:r>
    </w:p>
    <w:p w:rsidR="00A956AC" w:rsidRDefault="001B6162">
      <w:pPr>
        <w:numPr>
          <w:ilvl w:val="0"/>
          <w:numId w:val="1"/>
        </w:numPr>
        <w:spacing w:line="360" w:lineRule="auto"/>
        <w:ind w:left="363" w:hanging="363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急性脑卒中患者抵达急诊接受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 xml:space="preserve"> NIHSS 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评分比例。（满分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分，＞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70%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50-69%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分；＜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50%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</w:t>
      </w:r>
    </w:p>
    <w:p w:rsidR="00A956AC" w:rsidRDefault="001B6162">
      <w:pPr>
        <w:numPr>
          <w:ilvl w:val="0"/>
          <w:numId w:val="1"/>
        </w:numPr>
        <w:spacing w:line="360" w:lineRule="auto"/>
        <w:ind w:left="363" w:hanging="363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发病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 xml:space="preserve"> 4.5h 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内的缺血性卒中患者每年静脉溶栓数量。（满分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分，每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15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例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分，得分不超过总分）</w:t>
      </w:r>
    </w:p>
    <w:p w:rsidR="00A956AC" w:rsidRDefault="001B6162">
      <w:pPr>
        <w:numPr>
          <w:ilvl w:val="0"/>
          <w:numId w:val="1"/>
        </w:numPr>
        <w:spacing w:line="360" w:lineRule="auto"/>
        <w:ind w:left="363" w:hanging="363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在溶栓时间窗内的急性缺血性卒中患者，抵达医院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60min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内接受静脉溶栓的比例。（满分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分，＞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60%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40-59%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分；＜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)</w:t>
      </w:r>
    </w:p>
    <w:p w:rsidR="00A956AC" w:rsidRDefault="001B6162">
      <w:pPr>
        <w:numPr>
          <w:ilvl w:val="0"/>
          <w:numId w:val="1"/>
        </w:numPr>
        <w:spacing w:line="360" w:lineRule="auto"/>
        <w:ind w:left="363" w:hanging="363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发病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6h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内到达医院的急性卒中患者，急诊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25min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内完成头颅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CT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影像学检查的比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例。（满分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分，＞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70%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50-69%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分；＜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50%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)</w:t>
      </w:r>
    </w:p>
    <w:p w:rsidR="00A956AC" w:rsidRDefault="001B6162">
      <w:pPr>
        <w:numPr>
          <w:ilvl w:val="0"/>
          <w:numId w:val="1"/>
        </w:numPr>
        <w:spacing w:line="360" w:lineRule="auto"/>
        <w:ind w:left="363" w:hanging="363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发病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6h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内到达医院的急性缺血性卒中患者，在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 xml:space="preserve"> 45min 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内获得临床实验室检查结果的比例。（满分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分，＞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70%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50-69%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分；＜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50%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)</w:t>
      </w:r>
    </w:p>
    <w:p w:rsidR="00A956AC" w:rsidRDefault="001B6162">
      <w:pPr>
        <w:numPr>
          <w:ilvl w:val="0"/>
          <w:numId w:val="1"/>
        </w:numPr>
        <w:spacing w:line="360" w:lineRule="auto"/>
        <w:ind w:left="363" w:hanging="363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急性缺血性脑卒中患者，接受血管内治疗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36h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内发生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lastRenderedPageBreak/>
        <w:t>明显颅内出血的患者比例。（满分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分，＜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8%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8-10%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分；＞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10%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，未开展该项手术，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)</w:t>
      </w:r>
    </w:p>
    <w:p w:rsidR="00A956AC" w:rsidRDefault="001B6162">
      <w:pPr>
        <w:numPr>
          <w:ilvl w:val="0"/>
          <w:numId w:val="1"/>
        </w:numPr>
        <w:spacing w:line="360" w:lineRule="auto"/>
        <w:ind w:left="363" w:hanging="363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急性脑梗死患者住院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 xml:space="preserve"> 1 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周内接受颅内外血管评价的比例。（满分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分，＞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80%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60-79%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分；＜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60%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)</w:t>
      </w:r>
    </w:p>
    <w:p w:rsidR="00A956AC" w:rsidRDefault="001B6162">
      <w:pPr>
        <w:numPr>
          <w:ilvl w:val="0"/>
          <w:numId w:val="1"/>
        </w:numPr>
        <w:spacing w:line="360" w:lineRule="auto"/>
        <w:ind w:left="363" w:hanging="363"/>
        <w:jc w:val="left"/>
        <w:rPr>
          <w:rFonts w:ascii="仿宋" w:eastAsia="仿宋" w:hAnsi="仿宋" w:cs="仿宋"/>
          <w:bCs/>
          <w:kern w:val="0"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诊断性全脑血管造影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检查术后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24h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内患者的卒中发生率和死亡率。（满分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分，＜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2-5%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分；＞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5%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或未开展该项手术，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)</w:t>
      </w:r>
    </w:p>
    <w:p w:rsidR="00A956AC" w:rsidRDefault="001B6162">
      <w:pPr>
        <w:numPr>
          <w:ilvl w:val="0"/>
          <w:numId w:val="1"/>
        </w:numPr>
        <w:spacing w:line="360" w:lineRule="auto"/>
        <w:ind w:left="363" w:hanging="363"/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接受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CEA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或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CAS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治疗的患者，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30d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内卒中发生率和死亡率。（满分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0%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&lt;3%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3-6%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分；＞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6%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或未开展该项手术，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分）</w:t>
      </w:r>
    </w:p>
    <w:p w:rsidR="00A956AC" w:rsidRDefault="001B6162">
      <w:pPr>
        <w:numPr>
          <w:ilvl w:val="0"/>
          <w:numId w:val="1"/>
        </w:numPr>
        <w:spacing w:line="360" w:lineRule="auto"/>
        <w:ind w:left="363" w:hanging="363"/>
        <w:jc w:val="left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kern w:val="0"/>
          <w:sz w:val="32"/>
          <w:szCs w:val="32"/>
        </w:rPr>
        <w:t>发病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 xml:space="preserve">48 h 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内就诊的动脉瘤破裂所致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 xml:space="preserve"> SAH 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患者从到院至行破裂动脉瘤夹闭术或介入治疗的平均时间。（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分，≤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72h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分；＞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72h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分；未开展该项手术，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0</w:t>
      </w:r>
      <w:r>
        <w:rPr>
          <w:rFonts w:ascii="仿宋" w:eastAsia="仿宋" w:hAnsi="仿宋" w:cs="仿宋" w:hint="eastAsia"/>
          <w:bCs/>
          <w:kern w:val="0"/>
          <w:sz w:val="32"/>
          <w:szCs w:val="32"/>
        </w:rPr>
        <w:t>分）</w:t>
      </w:r>
    </w:p>
    <w:p w:rsidR="00A956AC" w:rsidRDefault="00A956AC">
      <w:pPr>
        <w:jc w:val="left"/>
        <w:rPr>
          <w:bCs/>
        </w:rPr>
      </w:pPr>
    </w:p>
    <w:p w:rsidR="00A956AC" w:rsidRDefault="00A956AC">
      <w:pPr>
        <w:jc w:val="left"/>
        <w:rPr>
          <w:bCs/>
        </w:rPr>
      </w:pPr>
    </w:p>
    <w:sectPr w:rsidR="00A956AC" w:rsidSect="00A956AC"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162" w:rsidRDefault="001B6162" w:rsidP="00DF118C">
      <w:r>
        <w:separator/>
      </w:r>
    </w:p>
  </w:endnote>
  <w:endnote w:type="continuationSeparator" w:id="1">
    <w:p w:rsidR="001B6162" w:rsidRDefault="001B6162" w:rsidP="00DF1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794744"/>
      <w:docPartObj>
        <w:docPartGallery w:val="Page Numbers (Bottom of Page)"/>
        <w:docPartUnique/>
      </w:docPartObj>
    </w:sdtPr>
    <w:sdtContent>
      <w:p w:rsidR="002A308C" w:rsidRDefault="002A308C">
        <w:pPr>
          <w:pStyle w:val="a5"/>
          <w:jc w:val="center"/>
        </w:pPr>
        <w:fldSimple w:instr=" PAGE   \* MERGEFORMAT ">
          <w:r w:rsidRPr="002A308C">
            <w:rPr>
              <w:noProof/>
              <w:lang w:val="zh-CN"/>
            </w:rPr>
            <w:t>1</w:t>
          </w:r>
        </w:fldSimple>
      </w:p>
    </w:sdtContent>
  </w:sdt>
  <w:p w:rsidR="002A308C" w:rsidRDefault="002A308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162" w:rsidRDefault="001B6162" w:rsidP="00DF118C">
      <w:r>
        <w:separator/>
      </w:r>
    </w:p>
  </w:footnote>
  <w:footnote w:type="continuationSeparator" w:id="1">
    <w:p w:rsidR="001B6162" w:rsidRDefault="001B6162" w:rsidP="00DF11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2607"/>
    <w:rsid w:val="00007B79"/>
    <w:rsid w:val="00062607"/>
    <w:rsid w:val="001B6162"/>
    <w:rsid w:val="002A308C"/>
    <w:rsid w:val="007C63CE"/>
    <w:rsid w:val="00966399"/>
    <w:rsid w:val="00A956AC"/>
    <w:rsid w:val="00DF118C"/>
    <w:rsid w:val="1CF26878"/>
    <w:rsid w:val="27D77EB7"/>
    <w:rsid w:val="303C70E9"/>
    <w:rsid w:val="31131655"/>
    <w:rsid w:val="323557C2"/>
    <w:rsid w:val="3F0F1DD3"/>
    <w:rsid w:val="73477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6AC"/>
    <w:pPr>
      <w:widowControl w:val="0"/>
      <w:jc w:val="both"/>
    </w:pPr>
    <w:rPr>
      <w:rFonts w:ascii="Calibri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6A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F1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F118C"/>
    <w:rPr>
      <w:rFonts w:ascii="Calibri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F11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F118C"/>
    <w:rPr>
      <w:rFonts w:ascii="Calibri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Ouyang</dc:creator>
  <cp:lastModifiedBy>Windows 用户</cp:lastModifiedBy>
  <cp:revision>8</cp:revision>
  <dcterms:created xsi:type="dcterms:W3CDTF">2018-05-21T10:31:00Z</dcterms:created>
  <dcterms:modified xsi:type="dcterms:W3CDTF">2020-09-29T09:02:00Z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