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辽宁省开展全国婴幼儿照护服务</w:t>
      </w:r>
    </w:p>
    <w:p>
      <w:pPr>
        <w:spacing w:line="6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示范城市创建活动方案</w:t>
      </w:r>
    </w:p>
    <w:bookmarkEnd w:id="0"/>
    <w:p>
      <w:pPr>
        <w:ind w:firstLine="640"/>
        <w:jc w:val="left"/>
        <w:rPr>
          <w:rFonts w:hint="eastAsia" w:ascii="仿宋_GB2312" w:hAnsi="仿宋_GB2312" w:eastAsia="仿宋_GB2312"/>
          <w:sz w:val="32"/>
          <w:szCs w:val="20"/>
        </w:rPr>
      </w:pPr>
    </w:p>
    <w:p>
      <w:pPr>
        <w:ind w:firstLine="640"/>
        <w:jc w:val="left"/>
        <w:rPr>
          <w:rFonts w:ascii="仿宋_GB2312" w:hAnsi="仿宋_GB2312" w:eastAsia="仿宋_GB2312"/>
          <w:sz w:val="32"/>
          <w:szCs w:val="20"/>
        </w:rPr>
      </w:pPr>
      <w:r>
        <w:rPr>
          <w:rFonts w:hint="eastAsia" w:ascii="仿宋_GB2312" w:hAnsi="仿宋_GB2312" w:eastAsia="仿宋_GB2312"/>
          <w:sz w:val="32"/>
          <w:szCs w:val="20"/>
        </w:rPr>
        <w:t>为贯彻落实</w:t>
      </w:r>
      <w:r>
        <w:rPr>
          <w:rFonts w:ascii="仿宋_GB2312" w:hAnsi="仿宋_GB2312" w:eastAsia="仿宋_GB2312"/>
          <w:sz w:val="32"/>
          <w:szCs w:val="20"/>
        </w:rPr>
        <w:t>《国务院办公厅关于促进3岁以下婴幼儿照护服务发展的指导意见》（国办发〔2019〕15号）、《国务院办公厅关于促进养老托育服务健康发展的意见》（国办发〔2020〕52号）</w:t>
      </w:r>
      <w:r>
        <w:rPr>
          <w:rFonts w:hint="eastAsia" w:ascii="仿宋_GB2312" w:hAnsi="仿宋_GB2312" w:eastAsia="仿宋_GB2312"/>
          <w:sz w:val="32"/>
          <w:szCs w:val="20"/>
        </w:rPr>
        <w:t>，依据国家卫生健康委、国家发展改革委《关于开展全国婴幼儿照护服务示范城市创建活动的通知》(国卫人口发〔2021〕17号)精神，结合我省实际，制定本方案。</w:t>
      </w:r>
    </w:p>
    <w:p>
      <w:pPr>
        <w:pStyle w:val="5"/>
        <w:ind w:left="640" w:firstLine="0" w:firstLineChars="0"/>
        <w:jc w:val="left"/>
        <w:rPr>
          <w:rFonts w:ascii="黑体" w:hAnsi="黑体" w:eastAsia="黑体" w:cs="黑体"/>
          <w:sz w:val="32"/>
          <w:szCs w:val="20"/>
          <w:lang w:val="zh-CN"/>
        </w:rPr>
      </w:pPr>
      <w:r>
        <w:rPr>
          <w:rFonts w:hint="eastAsia" w:ascii="黑体" w:hAnsi="黑体" w:eastAsia="黑体" w:cs="黑体"/>
          <w:sz w:val="32"/>
          <w:szCs w:val="20"/>
          <w:lang w:val="zh-CN"/>
        </w:rPr>
        <w:t>一、总体目标</w:t>
      </w:r>
    </w:p>
    <w:p>
      <w:pPr>
        <w:ind w:firstLine="640"/>
        <w:jc w:val="left"/>
        <w:rPr>
          <w:rFonts w:ascii="仿宋_GB2312" w:hAnsi="仿宋_GB2312" w:eastAsia="仿宋_GB2312"/>
          <w:sz w:val="32"/>
          <w:szCs w:val="20"/>
        </w:rPr>
      </w:pPr>
      <w:r>
        <w:rPr>
          <w:rFonts w:hint="eastAsia" w:ascii="仿宋_GB2312" w:hAnsi="仿宋_GB2312" w:eastAsia="仿宋_GB2312"/>
          <w:sz w:val="32"/>
          <w:szCs w:val="20"/>
        </w:rPr>
        <w:t>贯彻落实党中央、国务院决策部署，</w:t>
      </w:r>
      <w:r>
        <w:rPr>
          <w:rFonts w:ascii="仿宋_GB2312" w:hAnsi="仿宋_GB2312" w:eastAsia="仿宋_GB2312"/>
          <w:sz w:val="32"/>
          <w:szCs w:val="20"/>
        </w:rPr>
        <w:t>充分发挥政策和规划的引导作用，创新管理体制，健全服务机制，以</w:t>
      </w:r>
      <w:r>
        <w:rPr>
          <w:rFonts w:hint="eastAsia" w:ascii="仿宋_GB2312" w:hAnsi="仿宋_GB2312" w:eastAsia="仿宋_GB2312"/>
          <w:sz w:val="32"/>
          <w:szCs w:val="20"/>
        </w:rPr>
        <w:t>满足人民群众对婴幼儿照护服务的需求</w:t>
      </w:r>
      <w:r>
        <w:rPr>
          <w:rFonts w:ascii="仿宋_GB2312" w:hAnsi="仿宋_GB2312" w:eastAsia="仿宋_GB2312"/>
          <w:sz w:val="32"/>
          <w:szCs w:val="20"/>
        </w:rPr>
        <w:t>为目标，以普惠服务为重点，建立完善促进婴幼儿照护服务发展的政策法规体系、标准规范体系和服务供给体系，调动社会力量的积极性，多种形式开展婴幼儿照护服务，形成</w:t>
      </w:r>
      <w:r>
        <w:rPr>
          <w:rFonts w:hint="eastAsia" w:ascii="仿宋_GB2312" w:hAnsi="仿宋_GB2312" w:eastAsia="仿宋_GB2312"/>
          <w:sz w:val="32"/>
          <w:szCs w:val="20"/>
        </w:rPr>
        <w:t>具有辽宁特色</w:t>
      </w:r>
      <w:r>
        <w:rPr>
          <w:rFonts w:ascii="仿宋_GB2312" w:hAnsi="仿宋_GB2312" w:eastAsia="仿宋_GB2312"/>
          <w:sz w:val="32"/>
          <w:szCs w:val="20"/>
        </w:rPr>
        <w:t>可复制、可推广的典型经验，探索切实管用的政策举措。到20</w:t>
      </w:r>
      <w:r>
        <w:rPr>
          <w:rFonts w:hint="eastAsia" w:ascii="仿宋_GB2312" w:hAnsi="仿宋_GB2312" w:eastAsia="仿宋_GB2312"/>
          <w:sz w:val="32"/>
          <w:szCs w:val="20"/>
        </w:rPr>
        <w:t>2</w:t>
      </w:r>
      <w:r>
        <w:rPr>
          <w:rFonts w:ascii="仿宋_GB2312" w:hAnsi="仿宋_GB2312" w:eastAsia="仿宋_GB2312"/>
          <w:sz w:val="32"/>
          <w:szCs w:val="20"/>
        </w:rPr>
        <w:t>5年，婴幼儿照护服务的政策法规和标准规范体系基本健全</w:t>
      </w:r>
      <w:r>
        <w:rPr>
          <w:rFonts w:hint="eastAsia" w:ascii="仿宋_GB2312" w:hAnsi="仿宋_GB2312" w:eastAsia="仿宋_GB2312"/>
          <w:sz w:val="32"/>
          <w:szCs w:val="20"/>
        </w:rPr>
        <w:t>；</w:t>
      </w:r>
      <w:r>
        <w:rPr>
          <w:rFonts w:ascii="仿宋_GB2312" w:hAnsi="仿宋_GB2312" w:eastAsia="仿宋_GB2312"/>
          <w:sz w:val="32"/>
          <w:szCs w:val="20"/>
        </w:rPr>
        <w:t>每千人口拥有3岁以下婴幼儿托位数</w:t>
      </w:r>
      <w:r>
        <w:rPr>
          <w:rFonts w:hint="eastAsia" w:ascii="仿宋_GB2312" w:hAnsi="仿宋_GB2312" w:eastAsia="仿宋_GB2312"/>
          <w:sz w:val="32"/>
          <w:szCs w:val="20"/>
        </w:rPr>
        <w:t>达到4.5</w:t>
      </w:r>
      <w:r>
        <w:rPr>
          <w:rFonts w:ascii="仿宋_GB2312" w:hAnsi="仿宋_GB2312" w:eastAsia="仿宋_GB2312"/>
          <w:sz w:val="32"/>
          <w:szCs w:val="20"/>
        </w:rPr>
        <w:t>个</w:t>
      </w:r>
      <w:r>
        <w:rPr>
          <w:rFonts w:hint="eastAsia" w:ascii="仿宋_GB2312" w:hAnsi="仿宋_GB2312" w:eastAsia="仿宋_GB2312"/>
          <w:sz w:val="32"/>
          <w:szCs w:val="20"/>
        </w:rPr>
        <w:t>,</w:t>
      </w:r>
      <w:r>
        <w:rPr>
          <w:rFonts w:ascii="仿宋_GB2312" w:hAnsi="仿宋_GB2312" w:eastAsia="仿宋_GB2312"/>
          <w:sz w:val="32"/>
          <w:szCs w:val="20"/>
        </w:rPr>
        <w:t xml:space="preserve"> 人民群众的婴幼儿照护服务需求得到进一步满足。</w:t>
      </w:r>
    </w:p>
    <w:p>
      <w:pPr>
        <w:jc w:val="left"/>
        <w:rPr>
          <w:rFonts w:ascii="黑体" w:hAnsi="黑体" w:eastAsia="黑体" w:cs="黑体"/>
          <w:sz w:val="32"/>
          <w:szCs w:val="20"/>
          <w:lang w:val="zh-CN"/>
        </w:rPr>
      </w:pPr>
      <w:r>
        <w:rPr>
          <w:rFonts w:hint="eastAsia" w:ascii="仿宋_GB2312" w:hAnsi="仿宋_GB2312" w:eastAsia="仿宋_GB2312"/>
          <w:sz w:val="32"/>
          <w:szCs w:val="20"/>
          <w:lang w:val="zh-CN"/>
        </w:rPr>
        <w:t xml:space="preserve">   </w:t>
      </w:r>
      <w:r>
        <w:rPr>
          <w:rFonts w:hint="eastAsia" w:ascii="黑体" w:hAnsi="黑体" w:eastAsia="黑体" w:cs="黑体"/>
          <w:sz w:val="32"/>
          <w:szCs w:val="20"/>
          <w:lang w:val="zh-CN"/>
        </w:rPr>
        <w:t xml:space="preserve"> 二、基本原则</w:t>
      </w:r>
    </w:p>
    <w:p>
      <w:pPr>
        <w:ind w:firstLine="640"/>
        <w:jc w:val="left"/>
        <w:rPr>
          <w:rFonts w:ascii="仿宋_GB2312" w:hAnsi="仿宋_GB2312" w:eastAsia="仿宋_GB2312"/>
          <w:sz w:val="32"/>
          <w:szCs w:val="20"/>
        </w:rPr>
      </w:pPr>
      <w:r>
        <w:rPr>
          <w:rFonts w:hint="eastAsia" w:ascii="仿宋_GB2312" w:hAnsi="仿宋_GB2312" w:eastAsia="仿宋_GB2312"/>
          <w:sz w:val="32"/>
          <w:szCs w:val="20"/>
        </w:rPr>
        <w:t>（一）严格标准，公平公正。坚持创建标准的引导作用，严格评选，好中选优，宁缺毋滥。按照城市主动申报、省级评审推荐、国家审核命名的程序进行。</w:t>
      </w:r>
    </w:p>
    <w:p>
      <w:pPr>
        <w:ind w:firstLine="640"/>
        <w:jc w:val="left"/>
        <w:rPr>
          <w:rFonts w:ascii="仿宋_GB2312" w:hAnsi="仿宋_GB2312" w:eastAsia="仿宋_GB2312"/>
          <w:sz w:val="32"/>
          <w:szCs w:val="20"/>
        </w:rPr>
      </w:pPr>
      <w:r>
        <w:rPr>
          <w:rFonts w:hint="eastAsia" w:ascii="仿宋_GB2312" w:hAnsi="仿宋_GB2312" w:eastAsia="仿宋_GB2312"/>
          <w:sz w:val="32"/>
          <w:szCs w:val="20"/>
        </w:rPr>
        <w:t>（二）协同创建，动态管理。与相关部门合力推进创建活动。示范城市创建活动以设区的市为单位开展，每</w:t>
      </w:r>
      <w:r>
        <w:rPr>
          <w:rFonts w:ascii="仿宋_GB2312" w:hAnsi="仿宋_GB2312" w:eastAsia="仿宋_GB2312"/>
          <w:sz w:val="32"/>
          <w:szCs w:val="20"/>
        </w:rPr>
        <w:t>2</w:t>
      </w:r>
      <w:r>
        <w:rPr>
          <w:rFonts w:hint="eastAsia" w:ascii="仿宋_GB2312" w:hAnsi="仿宋_GB2312" w:eastAsia="仿宋_GB2312"/>
          <w:sz w:val="32"/>
          <w:szCs w:val="20"/>
        </w:rPr>
        <w:t>年为一评选周期。对于已命名示范城市，国家卫生健康委会同国家发展改革委适时组织开展复查，符合条件的继续保留命名。</w:t>
      </w:r>
    </w:p>
    <w:p>
      <w:pPr>
        <w:ind w:firstLine="640" w:firstLineChars="200"/>
        <w:rPr>
          <w:rFonts w:ascii="黑体" w:hAnsi="黑体" w:eastAsia="黑体" w:cs="黑体"/>
          <w:color w:val="000000"/>
          <w:sz w:val="32"/>
          <w:szCs w:val="20"/>
          <w:lang w:val="zh-CN"/>
        </w:rPr>
      </w:pPr>
      <w:r>
        <w:rPr>
          <w:rFonts w:hint="eastAsia" w:ascii="黑体" w:hAnsi="黑体" w:eastAsia="黑体" w:cs="黑体"/>
          <w:color w:val="000000"/>
          <w:sz w:val="32"/>
          <w:szCs w:val="20"/>
        </w:rPr>
        <w:t>三、创建</w:t>
      </w:r>
      <w:r>
        <w:rPr>
          <w:rFonts w:hint="eastAsia" w:ascii="黑体" w:hAnsi="黑体" w:eastAsia="黑体" w:cs="黑体"/>
          <w:color w:val="000000"/>
          <w:sz w:val="32"/>
          <w:szCs w:val="20"/>
          <w:lang w:val="zh-CN"/>
        </w:rPr>
        <w:t>内容</w:t>
      </w:r>
    </w:p>
    <w:p>
      <w:pPr>
        <w:ind w:firstLine="640" w:firstLineChars="200"/>
        <w:rPr>
          <w:rFonts w:ascii="仿宋_GB2312" w:hAnsi="仿宋_GB2312" w:eastAsia="仿宋_GB2312"/>
          <w:sz w:val="32"/>
          <w:szCs w:val="20"/>
        </w:rPr>
      </w:pPr>
      <w:r>
        <w:rPr>
          <w:rFonts w:hint="eastAsia" w:ascii="仿宋_GB2312" w:hAnsi="仿宋_GB2312" w:eastAsia="仿宋_GB2312"/>
          <w:sz w:val="32"/>
          <w:szCs w:val="20"/>
        </w:rPr>
        <w:t>（一）完善支持政策。将婴幼儿照护服务纳入国民经济和社会发展规划，制定“十四五”托育服务体系建设专项规划或实施方案，明确托育服务体系建设目标、建设任务、资金来源和运营方式等。制定“一老一小”整体解决方案，加强组织实施，方案含金量及实施的情况将作为考评的重要方面。综合运用规划、土地、住房、财政、投资、融资、人才等支持政策，大力发展成本可负担、方便可及的普惠性托育服务。在年度建设用地供应计划中保障托育用地需求，并安排在合理区位。支持将各类房屋和设施用于发展托育，鼓励适当放宽最长租赁期限。非独立场所按照相关安全规定标准改造建设托育点并通过验收的，无需变更土地和房屋性质。托育服务各项税费优惠政策全面、及时惠及市场主体，对吸纳符合条件劳动者的托育机构按规定给予社保补贴。加强婴幼儿发展与健康管理、婴幼儿保育等学科建设，培养相关专业人才。支持保险机构开发相关责任险及托育机构运营相关保险。全面落实产假政策，探索试行与婴幼儿照护服务配套衔接的育儿假、产休假。</w:t>
      </w:r>
    </w:p>
    <w:p>
      <w:pPr>
        <w:ind w:firstLine="640" w:firstLineChars="200"/>
        <w:rPr>
          <w:rFonts w:ascii="仿宋_GB2312" w:hAnsi="仿宋_GB2312" w:eastAsia="仿宋_GB2312"/>
          <w:sz w:val="32"/>
          <w:szCs w:val="20"/>
        </w:rPr>
      </w:pPr>
      <w:r>
        <w:rPr>
          <w:rFonts w:hint="eastAsia" w:ascii="仿宋_GB2312" w:hAnsi="仿宋_GB2312" w:eastAsia="仿宋_GB2312"/>
          <w:sz w:val="32"/>
          <w:szCs w:val="20"/>
        </w:rPr>
        <w:t>（二）扩大服务供给。通过入户指导、亲子活动、家长课堂等方式，为婴幼儿家庭提供经常性的、普惠可及的育儿指导，提高家庭科学育儿能力。将婴幼儿照护纳入城乡社区服务范围，加强社区婴幼儿照护服务设施与社区卫生等设施的功能衔接，鼓励开展家庭互助式服务。新建住宅小区与配套婴幼儿照护服务设施同步规划、同步建设、同步验收、同步交付，在城市居住社区建设补短板和城镇老旧小区改造中统筹推进婴幼儿照护服务设施建设。发展集中管理运营的托育服务网络，建设一批承担指导功能的普惠性托育机构，支持产业园区、用人单位等在工作场所为职工提供福利性托育服务，婴幼儿入托率、千人口托位数高于全省平均水平。</w:t>
      </w:r>
    </w:p>
    <w:p>
      <w:pPr>
        <w:ind w:firstLine="640" w:firstLineChars="200"/>
        <w:rPr>
          <w:rFonts w:ascii="仿宋_GB2312" w:hAnsi="仿宋_GB2312" w:eastAsia="仿宋_GB2312"/>
          <w:sz w:val="32"/>
          <w:szCs w:val="20"/>
        </w:rPr>
      </w:pPr>
      <w:r>
        <w:rPr>
          <w:rFonts w:hint="eastAsia" w:ascii="仿宋_GB2312" w:hAnsi="仿宋_GB2312" w:eastAsia="仿宋_GB2312"/>
          <w:sz w:val="32"/>
          <w:szCs w:val="20"/>
        </w:rPr>
        <w:t>（三）推动创新融合。深化医育有机结合，加强对托育机构卫生保健工作的业务指导和人员培训。充分利用互联网、大数据、物联网、人工智能等技术，研发应用婴幼儿照护服务信息管理系统，推进“互联网+托育服务”，支持优质托育机构平台化发展。开发科学育儿公益课程、父母课堂等，提供互联网直播互动式家庭育儿服务。加强公共场所母婴设施的建设和改造，开辟绿色通道，为婴幼儿出行、哺乳等提供便利条件。培育托育服务、乳粉奶业、动画设计与制作等行业民族品牌。</w:t>
      </w:r>
    </w:p>
    <w:p>
      <w:pPr>
        <w:ind w:firstLine="640" w:firstLineChars="200"/>
        <w:rPr>
          <w:rFonts w:ascii="仿宋_GB2312" w:hAnsi="仿宋_GB2312" w:eastAsia="仿宋_GB2312"/>
          <w:sz w:val="32"/>
          <w:szCs w:val="20"/>
        </w:rPr>
      </w:pPr>
      <w:r>
        <w:rPr>
          <w:rFonts w:hint="eastAsia" w:ascii="仿宋_GB2312" w:hAnsi="仿宋_GB2312" w:eastAsia="仿宋_GB2312"/>
          <w:sz w:val="32"/>
          <w:szCs w:val="20"/>
        </w:rPr>
        <w:t>（四）完善监管服务。落实政府在制度建设、行业规划、行政执法等方面的监管责任。强化部门协同，卫生健康行政部门牵头，相关部门按照各自职责，定期对托育机构开展监督检查。健全托育机构备案登记制度、信息公示制度和质量评估制度，落实托育机构的安全管理主体责任。发挥群团组织和行业组织的作用，加强宣传教育和社会监督，强化行业自律。依法实施守信联合激励和失信联合惩戒，构建以信用为基础的新型监管机制。托育机构服务质量和声誉口碑好，婴幼儿家庭满意程度高，无安全责任事故。</w:t>
      </w:r>
    </w:p>
    <w:p>
      <w:pPr>
        <w:ind w:firstLine="640" w:firstLineChars="200"/>
        <w:rPr>
          <w:rFonts w:ascii="黑体" w:hAnsi="黑体" w:eastAsia="黑体" w:cs="黑体"/>
          <w:sz w:val="32"/>
          <w:szCs w:val="20"/>
          <w:lang w:val="zh-CN"/>
        </w:rPr>
      </w:pPr>
      <w:r>
        <w:rPr>
          <w:rFonts w:hint="eastAsia" w:ascii="黑体" w:hAnsi="黑体" w:eastAsia="黑体" w:cs="黑体"/>
          <w:sz w:val="32"/>
          <w:szCs w:val="20"/>
          <w:lang w:val="zh-CN"/>
        </w:rPr>
        <w:t>四、申报资格和申报名额</w:t>
      </w:r>
    </w:p>
    <w:p>
      <w:pPr>
        <w:shd w:val="solid" w:color="FFFFFF" w:fill="auto"/>
        <w:autoSpaceDN w:val="0"/>
        <w:ind w:firstLine="640"/>
        <w:textAlignment w:val="baseline"/>
        <w:rPr>
          <w:rFonts w:ascii="仿宋_GB2312" w:hAnsi="仿宋_GB2312" w:eastAsia="仿宋_GB2312"/>
          <w:sz w:val="32"/>
          <w:szCs w:val="20"/>
          <w:lang w:val="zh-CN"/>
        </w:rPr>
      </w:pPr>
      <w:r>
        <w:rPr>
          <w:rFonts w:hint="eastAsia" w:ascii="仿宋_GB2312" w:hAnsi="仿宋_GB2312" w:eastAsia="仿宋_GB2312"/>
          <w:sz w:val="32"/>
          <w:szCs w:val="20"/>
        </w:rPr>
        <w:t>党委政府重视程度高、工作基础条件好、创新意识强，在促进婴幼儿照护服务发展中成效显著、群众满意，能够发挥示范引领、带动辐射作用</w:t>
      </w:r>
      <w:r>
        <w:rPr>
          <w:rFonts w:hint="eastAsia" w:ascii="仿宋_GB2312" w:hAnsi="仿宋_GB2312" w:eastAsia="仿宋_GB2312"/>
          <w:sz w:val="32"/>
          <w:szCs w:val="20"/>
          <w:lang w:val="zh-CN"/>
        </w:rPr>
        <w:t>，</w:t>
      </w:r>
      <w:r>
        <w:rPr>
          <w:rFonts w:hint="eastAsia" w:ascii="仿宋_GB2312" w:hAnsi="仿宋_GB2312" w:eastAsia="仿宋_GB2312"/>
          <w:sz w:val="32"/>
          <w:szCs w:val="20"/>
        </w:rPr>
        <w:t>且</w:t>
      </w:r>
      <w:r>
        <w:rPr>
          <w:rFonts w:ascii="仿宋_GB2312" w:hAnsi="仿宋_GB2312" w:eastAsia="仿宋_GB2312"/>
          <w:sz w:val="32"/>
          <w:szCs w:val="20"/>
        </w:rPr>
        <w:t>申报前</w:t>
      </w:r>
      <w:r>
        <w:rPr>
          <w:rFonts w:hint="eastAsia" w:ascii="仿宋_GB2312" w:hAnsi="仿宋_GB2312" w:eastAsia="仿宋_GB2312"/>
          <w:sz w:val="32"/>
          <w:szCs w:val="20"/>
        </w:rPr>
        <w:t>两</w:t>
      </w:r>
      <w:r>
        <w:rPr>
          <w:rFonts w:ascii="仿宋_GB2312" w:hAnsi="仿宋_GB2312" w:eastAsia="仿宋_GB2312"/>
          <w:sz w:val="32"/>
          <w:szCs w:val="20"/>
        </w:rPr>
        <w:t>年内</w:t>
      </w:r>
      <w:r>
        <w:rPr>
          <w:rFonts w:hint="eastAsia" w:ascii="仿宋_GB2312" w:hAnsi="仿宋_GB2312" w:eastAsia="仿宋_GB2312"/>
          <w:sz w:val="32"/>
          <w:szCs w:val="20"/>
        </w:rPr>
        <w:t>未发生重大违</w:t>
      </w:r>
      <w:r>
        <w:rPr>
          <w:rFonts w:hint="eastAsia" w:ascii="仿宋_GB2312" w:hAnsi="仿宋_GB2312" w:eastAsia="仿宋_GB2312"/>
          <w:sz w:val="32"/>
          <w:szCs w:val="20"/>
          <w:lang w:val="zh-CN"/>
        </w:rPr>
        <w:t>法违规案件、重大安全责任事故</w:t>
      </w:r>
      <w:r>
        <w:rPr>
          <w:rFonts w:ascii="仿宋_GB2312" w:hAnsi="仿宋_GB2312" w:eastAsia="仿宋_GB2312"/>
          <w:sz w:val="32"/>
          <w:szCs w:val="20"/>
        </w:rPr>
        <w:t>、</w:t>
      </w:r>
      <w:r>
        <w:rPr>
          <w:rFonts w:hint="eastAsia" w:ascii="仿宋_GB2312" w:hAnsi="仿宋_GB2312" w:eastAsia="仿宋_GB2312"/>
          <w:sz w:val="32"/>
          <w:szCs w:val="20"/>
        </w:rPr>
        <w:t>重大</w:t>
      </w:r>
      <w:r>
        <w:rPr>
          <w:rFonts w:ascii="仿宋_GB2312" w:hAnsi="仿宋_GB2312" w:eastAsia="仿宋_GB2312"/>
          <w:sz w:val="32"/>
          <w:szCs w:val="20"/>
          <w:lang w:val="zh-CN"/>
        </w:rPr>
        <w:t>信访事件</w:t>
      </w:r>
      <w:r>
        <w:rPr>
          <w:rFonts w:hint="eastAsia" w:ascii="仿宋_GB2312" w:hAnsi="仿宋_GB2312" w:eastAsia="仿宋_GB2312"/>
          <w:sz w:val="32"/>
          <w:szCs w:val="20"/>
          <w:lang w:val="zh-CN"/>
        </w:rPr>
        <w:t>、</w:t>
      </w:r>
      <w:r>
        <w:rPr>
          <w:rFonts w:ascii="仿宋_GB2312" w:hAnsi="仿宋_GB2312" w:eastAsia="仿宋_GB2312"/>
          <w:sz w:val="32"/>
          <w:szCs w:val="20"/>
          <w:lang w:val="zh-CN"/>
        </w:rPr>
        <w:t>涉及婴幼儿照护服务重大负面舆情</w:t>
      </w:r>
      <w:r>
        <w:rPr>
          <w:rFonts w:hint="eastAsia" w:ascii="仿宋_GB2312" w:hAnsi="仿宋_GB2312" w:eastAsia="仿宋_GB2312"/>
          <w:sz w:val="32"/>
          <w:szCs w:val="20"/>
          <w:lang w:val="zh-CN"/>
        </w:rPr>
        <w:t>的，方可申报。</w:t>
      </w:r>
    </w:p>
    <w:p>
      <w:pPr>
        <w:ind w:firstLine="640" w:firstLineChars="200"/>
        <w:jc w:val="left"/>
        <w:rPr>
          <w:rFonts w:ascii="仿宋_GB2312" w:hAnsi="仿宋_GB2312" w:eastAsia="仿宋_GB2312"/>
          <w:sz w:val="32"/>
          <w:szCs w:val="20"/>
          <w:lang w:val="zh-CN"/>
        </w:rPr>
      </w:pPr>
      <w:r>
        <w:rPr>
          <w:rFonts w:ascii="仿宋_GB2312" w:hAnsi="仿宋_GB2312" w:eastAsia="仿宋_GB2312"/>
          <w:sz w:val="32"/>
          <w:szCs w:val="20"/>
          <w:lang w:val="zh-CN"/>
        </w:rPr>
        <w:t>按照国家卫生健康委、国家发展改革委“每周期各省（区、市）推荐的示范城市不超过可参评单位总数的10%”要求,我省示范城市申报总数控制在2个以内。</w:t>
      </w:r>
    </w:p>
    <w:p>
      <w:pPr>
        <w:ind w:firstLine="643"/>
        <w:rPr>
          <w:rFonts w:ascii="黑体" w:hAnsi="黑体" w:eastAsia="黑体" w:cs="黑体"/>
          <w:sz w:val="32"/>
          <w:szCs w:val="20"/>
          <w:lang w:val="zh-CN"/>
        </w:rPr>
      </w:pPr>
      <w:r>
        <w:rPr>
          <w:rFonts w:hint="eastAsia" w:ascii="黑体" w:hAnsi="黑体" w:eastAsia="黑体" w:cs="黑体"/>
          <w:sz w:val="32"/>
          <w:szCs w:val="20"/>
          <w:lang w:val="zh-CN"/>
        </w:rPr>
        <w:t>五、创建程序</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（一）申报阶段（2</w:t>
      </w:r>
      <w:r>
        <w:rPr>
          <w:rFonts w:ascii="仿宋_GB2312" w:hAnsi="仿宋_GB2312" w:eastAsia="仿宋_GB2312"/>
          <w:sz w:val="32"/>
          <w:szCs w:val="20"/>
          <w:lang w:val="zh-CN"/>
        </w:rPr>
        <w:t>022</w:t>
      </w:r>
      <w:r>
        <w:rPr>
          <w:rFonts w:hint="eastAsia" w:ascii="仿宋_GB2312" w:hAnsi="仿宋_GB2312" w:eastAsia="仿宋_GB2312"/>
          <w:sz w:val="32"/>
          <w:szCs w:val="20"/>
          <w:lang w:val="zh-CN"/>
        </w:rPr>
        <w:t>年</w:t>
      </w:r>
      <w:r>
        <w:rPr>
          <w:rFonts w:ascii="仿宋_GB2312" w:hAnsi="仿宋_GB2312" w:eastAsia="仿宋_GB2312"/>
          <w:sz w:val="32"/>
          <w:szCs w:val="20"/>
          <w:lang w:val="zh-CN"/>
        </w:rPr>
        <w:t>5</w:t>
      </w:r>
      <w:r>
        <w:rPr>
          <w:rFonts w:hint="eastAsia" w:ascii="仿宋_GB2312" w:hAnsi="仿宋_GB2312" w:eastAsia="仿宋_GB2312"/>
          <w:sz w:val="32"/>
          <w:szCs w:val="20"/>
          <w:lang w:val="zh-CN"/>
        </w:rPr>
        <w:t>月</w:t>
      </w:r>
      <w:r>
        <w:rPr>
          <w:rFonts w:ascii="仿宋_GB2312" w:hAnsi="仿宋_GB2312" w:eastAsia="仿宋_GB2312"/>
          <w:sz w:val="32"/>
          <w:szCs w:val="20"/>
          <w:lang w:val="zh-CN"/>
        </w:rPr>
        <w:t>31</w:t>
      </w:r>
      <w:r>
        <w:rPr>
          <w:rFonts w:hint="eastAsia" w:ascii="仿宋_GB2312" w:hAnsi="仿宋_GB2312" w:eastAsia="仿宋_GB2312"/>
          <w:sz w:val="32"/>
          <w:szCs w:val="20"/>
          <w:lang w:val="zh-CN"/>
        </w:rPr>
        <w:t>日前）。有创建意愿且具备申报资格的市，</w:t>
      </w:r>
      <w:r>
        <w:rPr>
          <w:rFonts w:ascii="仿宋_GB2312" w:hAnsi="仿宋_GB2312" w:eastAsia="仿宋_GB2312"/>
          <w:sz w:val="32"/>
          <w:szCs w:val="20"/>
          <w:lang w:val="zh-CN"/>
        </w:rPr>
        <w:t>由当地卫生健康委、发展改革委将创建意向报</w:t>
      </w:r>
      <w:r>
        <w:rPr>
          <w:rFonts w:hint="eastAsia" w:ascii="仿宋_GB2312" w:hAnsi="仿宋_GB2312" w:eastAsia="仿宋_GB2312"/>
          <w:sz w:val="32"/>
          <w:szCs w:val="20"/>
          <w:lang w:val="zh-CN"/>
        </w:rPr>
        <w:t>市</w:t>
      </w:r>
      <w:r>
        <w:rPr>
          <w:rFonts w:ascii="仿宋_GB2312" w:hAnsi="仿宋_GB2312" w:eastAsia="仿宋_GB2312"/>
          <w:sz w:val="32"/>
          <w:szCs w:val="20"/>
          <w:lang w:val="zh-CN"/>
        </w:rPr>
        <w:t>政府研究同意后，</w:t>
      </w:r>
      <w:r>
        <w:rPr>
          <w:rFonts w:hint="eastAsia" w:ascii="仿宋_GB2312" w:hAnsi="仿宋_GB2312" w:eastAsia="仿宋_GB2312"/>
          <w:sz w:val="32"/>
          <w:szCs w:val="20"/>
          <w:lang w:val="zh-CN"/>
        </w:rPr>
        <w:t>以市人民政府名义向省卫生健康委、发展改革委申报，并</w:t>
      </w:r>
      <w:r>
        <w:rPr>
          <w:rFonts w:ascii="仿宋_GB2312" w:hAnsi="仿宋_GB2312" w:eastAsia="仿宋_GB2312"/>
          <w:sz w:val="32"/>
          <w:szCs w:val="20"/>
          <w:lang w:val="zh-CN"/>
        </w:rPr>
        <w:t>依法依规</w:t>
      </w:r>
      <w:r>
        <w:rPr>
          <w:rFonts w:hint="eastAsia" w:ascii="仿宋_GB2312" w:hAnsi="仿宋_GB2312" w:eastAsia="仿宋_GB2312"/>
          <w:sz w:val="32"/>
          <w:szCs w:val="20"/>
          <w:lang w:val="zh-CN"/>
        </w:rPr>
        <w:t>开展</w:t>
      </w:r>
      <w:r>
        <w:rPr>
          <w:rFonts w:ascii="仿宋_GB2312" w:hAnsi="仿宋_GB2312" w:eastAsia="仿宋_GB2312"/>
          <w:sz w:val="32"/>
          <w:szCs w:val="20"/>
          <w:lang w:val="zh-CN"/>
        </w:rPr>
        <w:t>创建活动，参照《</w:t>
      </w:r>
      <w:r>
        <w:rPr>
          <w:rFonts w:hint="eastAsia" w:ascii="仿宋_GB2312" w:hAnsi="仿宋_GB2312" w:eastAsia="仿宋_GB2312"/>
          <w:sz w:val="32"/>
          <w:szCs w:val="20"/>
          <w:lang w:val="zh-CN"/>
        </w:rPr>
        <w:t>辽宁</w:t>
      </w:r>
      <w:r>
        <w:rPr>
          <w:rFonts w:ascii="仿宋_GB2312" w:hAnsi="仿宋_GB2312" w:eastAsia="仿宋_GB2312"/>
          <w:sz w:val="32"/>
          <w:szCs w:val="20"/>
          <w:lang w:val="zh-CN"/>
        </w:rPr>
        <w:t>省开展全国婴幼儿照护服务示范城市创建活动评估指标体系》逐项开展自评，形成自评报告。</w:t>
      </w:r>
    </w:p>
    <w:p>
      <w:pPr>
        <w:ind w:firstLine="640" w:firstLineChars="200"/>
        <w:jc w:val="left"/>
        <w:rPr>
          <w:rFonts w:ascii="仿宋_GB2312" w:hAnsi="仿宋_GB2312" w:eastAsia="仿宋_GB2312"/>
          <w:sz w:val="32"/>
          <w:szCs w:val="20"/>
          <w:lang w:val="zh-CN"/>
        </w:rPr>
      </w:pPr>
      <w:r>
        <w:rPr>
          <w:rFonts w:ascii="仿宋_GB2312" w:hAnsi="仿宋_GB2312" w:eastAsia="仿宋_GB2312"/>
          <w:sz w:val="32"/>
          <w:szCs w:val="20"/>
          <w:lang w:val="zh-CN"/>
        </w:rPr>
        <w:t>（</w:t>
      </w:r>
      <w:r>
        <w:rPr>
          <w:rFonts w:hint="eastAsia" w:ascii="仿宋_GB2312" w:hAnsi="仿宋_GB2312" w:eastAsia="仿宋_GB2312"/>
          <w:sz w:val="32"/>
          <w:szCs w:val="20"/>
          <w:lang w:val="zh-CN"/>
        </w:rPr>
        <w:t>二</w:t>
      </w:r>
      <w:r>
        <w:rPr>
          <w:rFonts w:ascii="仿宋_GB2312" w:hAnsi="仿宋_GB2312" w:eastAsia="仿宋_GB2312"/>
          <w:sz w:val="32"/>
          <w:szCs w:val="20"/>
          <w:lang w:val="zh-CN"/>
        </w:rPr>
        <w:t>）现场审核（2022年7月31日前）。省卫生健康委、发展改革委将组织审核专家组，根据《</w:t>
      </w:r>
      <w:r>
        <w:rPr>
          <w:rFonts w:hint="eastAsia" w:ascii="仿宋_GB2312" w:hAnsi="仿宋_GB2312" w:eastAsia="仿宋_GB2312"/>
          <w:sz w:val="32"/>
          <w:szCs w:val="20"/>
          <w:lang w:val="zh-CN"/>
        </w:rPr>
        <w:t>辽宁</w:t>
      </w:r>
      <w:r>
        <w:rPr>
          <w:rFonts w:ascii="仿宋_GB2312" w:hAnsi="仿宋_GB2312" w:eastAsia="仿宋_GB2312"/>
          <w:sz w:val="32"/>
          <w:szCs w:val="20"/>
          <w:lang w:val="zh-CN"/>
        </w:rPr>
        <w:t>省开展全国婴幼儿照护服务示范城市创建活动评估指标体系》，通过现场核实、听取汇报、查阅资料</w:t>
      </w:r>
      <w:r>
        <w:rPr>
          <w:rFonts w:hint="eastAsia" w:ascii="仿宋_GB2312" w:hAnsi="仿宋_GB2312" w:eastAsia="仿宋_GB2312"/>
          <w:sz w:val="32"/>
          <w:szCs w:val="20"/>
          <w:lang w:val="zh-CN"/>
        </w:rPr>
        <w:t>、走访座谈</w:t>
      </w:r>
      <w:r>
        <w:rPr>
          <w:rFonts w:ascii="仿宋_GB2312" w:hAnsi="仿宋_GB2312" w:eastAsia="仿宋_GB2312"/>
          <w:sz w:val="32"/>
          <w:szCs w:val="20"/>
          <w:lang w:val="zh-CN"/>
        </w:rPr>
        <w:t>等方式，对申报城市自评结果及婴幼儿照护服务开展现状进行逐一审核。</w:t>
      </w:r>
    </w:p>
    <w:p>
      <w:pPr>
        <w:ind w:firstLine="640" w:firstLineChars="200"/>
        <w:jc w:val="left"/>
        <w:rPr>
          <w:rFonts w:ascii="仿宋_GB2312" w:hAnsi="仿宋_GB2312" w:eastAsia="仿宋_GB2312"/>
          <w:sz w:val="32"/>
          <w:szCs w:val="20"/>
          <w:lang w:val="zh-CN"/>
        </w:rPr>
      </w:pPr>
      <w:r>
        <w:rPr>
          <w:rFonts w:ascii="仿宋_GB2312" w:hAnsi="仿宋_GB2312" w:eastAsia="仿宋_GB2312"/>
          <w:sz w:val="32"/>
          <w:szCs w:val="20"/>
          <w:lang w:val="zh-CN"/>
        </w:rPr>
        <w:t>（</w:t>
      </w:r>
      <w:r>
        <w:rPr>
          <w:rFonts w:hint="eastAsia" w:ascii="仿宋_GB2312" w:hAnsi="仿宋_GB2312" w:eastAsia="仿宋_GB2312"/>
          <w:sz w:val="32"/>
          <w:szCs w:val="20"/>
          <w:lang w:val="zh-CN"/>
        </w:rPr>
        <w:t>三</w:t>
      </w:r>
      <w:r>
        <w:rPr>
          <w:rFonts w:ascii="仿宋_GB2312" w:hAnsi="仿宋_GB2312" w:eastAsia="仿宋_GB2312"/>
          <w:sz w:val="32"/>
          <w:szCs w:val="20"/>
          <w:lang w:val="zh-CN"/>
        </w:rPr>
        <w:t>）评审遴选（2022年9月30日前）。省卫生健康委、发展改革委将对通过现场审核的申报城市进行统一评审，综合现场审核、上报资料和数据审核等情况，确定拟创建为全国婴幼儿照护服务示范城市</w:t>
      </w:r>
      <w:r>
        <w:rPr>
          <w:rFonts w:hint="eastAsia" w:ascii="仿宋_GB2312" w:hAnsi="仿宋_GB2312" w:eastAsia="仿宋_GB2312"/>
          <w:sz w:val="32"/>
          <w:szCs w:val="20"/>
          <w:lang w:val="zh-CN"/>
        </w:rPr>
        <w:t>名单</w:t>
      </w:r>
      <w:r>
        <w:rPr>
          <w:rFonts w:ascii="仿宋_GB2312" w:hAnsi="仿宋_GB2312" w:eastAsia="仿宋_GB2312"/>
          <w:sz w:val="32"/>
          <w:szCs w:val="20"/>
          <w:lang w:val="zh-CN"/>
        </w:rPr>
        <w:t>，经省卫生健康委、发展改革委门户网站公示5个工作日后上报国家卫生健康委、</w:t>
      </w:r>
      <w:r>
        <w:rPr>
          <w:rFonts w:hint="eastAsia" w:ascii="仿宋_GB2312" w:hAnsi="仿宋_GB2312" w:eastAsia="仿宋_GB2312"/>
          <w:sz w:val="32"/>
          <w:szCs w:val="20"/>
          <w:lang w:val="zh-CN"/>
        </w:rPr>
        <w:t>国家</w:t>
      </w:r>
      <w:r>
        <w:rPr>
          <w:rFonts w:ascii="仿宋_GB2312" w:hAnsi="仿宋_GB2312" w:eastAsia="仿宋_GB2312"/>
          <w:sz w:val="32"/>
          <w:szCs w:val="20"/>
          <w:lang w:val="zh-CN"/>
        </w:rPr>
        <w:t>发展改革委。</w:t>
      </w:r>
    </w:p>
    <w:p>
      <w:pPr>
        <w:ind w:firstLine="640" w:firstLineChars="200"/>
        <w:jc w:val="left"/>
        <w:rPr>
          <w:rFonts w:ascii="仿宋_GB2312" w:hAnsi="仿宋_GB2312" w:eastAsia="仿宋_GB2312"/>
          <w:sz w:val="32"/>
          <w:szCs w:val="20"/>
          <w:lang w:val="zh-CN"/>
        </w:rPr>
      </w:pPr>
      <w:r>
        <w:rPr>
          <w:rFonts w:ascii="仿宋_GB2312" w:hAnsi="仿宋_GB2312" w:eastAsia="仿宋_GB2312"/>
          <w:sz w:val="32"/>
          <w:szCs w:val="20"/>
          <w:lang w:val="zh-CN"/>
        </w:rPr>
        <w:t>（</w:t>
      </w:r>
      <w:r>
        <w:rPr>
          <w:rFonts w:hint="eastAsia" w:ascii="仿宋_GB2312" w:hAnsi="仿宋_GB2312" w:eastAsia="仿宋_GB2312"/>
          <w:sz w:val="32"/>
          <w:szCs w:val="20"/>
          <w:lang w:val="zh-CN"/>
        </w:rPr>
        <w:t>四</w:t>
      </w:r>
      <w:r>
        <w:rPr>
          <w:rFonts w:ascii="仿宋_GB2312" w:hAnsi="仿宋_GB2312" w:eastAsia="仿宋_GB2312"/>
          <w:sz w:val="32"/>
          <w:szCs w:val="20"/>
          <w:lang w:val="zh-CN"/>
        </w:rPr>
        <w:t>）</w:t>
      </w:r>
      <w:r>
        <w:rPr>
          <w:rFonts w:hint="eastAsia" w:ascii="仿宋_GB2312" w:hAnsi="仿宋_GB2312" w:eastAsia="仿宋_GB2312"/>
          <w:sz w:val="32"/>
          <w:szCs w:val="20"/>
          <w:lang w:val="zh-CN"/>
        </w:rPr>
        <w:t>国家命名</w:t>
      </w:r>
      <w:r>
        <w:rPr>
          <w:rFonts w:ascii="仿宋_GB2312" w:hAnsi="仿宋_GB2312" w:eastAsia="仿宋_GB2312"/>
          <w:sz w:val="32"/>
          <w:szCs w:val="20"/>
          <w:lang w:val="zh-CN"/>
        </w:rPr>
        <w:t>（2022年年底前）</w:t>
      </w:r>
      <w:r>
        <w:rPr>
          <w:rFonts w:hint="eastAsia" w:ascii="仿宋_GB2312" w:hAnsi="仿宋_GB2312" w:eastAsia="仿宋_GB2312"/>
          <w:sz w:val="32"/>
          <w:szCs w:val="20"/>
          <w:lang w:val="zh-CN"/>
        </w:rPr>
        <w:t>。国家卫生健康委会同国家发展改革委进行审核、公示，通过审核公示的，国家卫生健康委、国家发展改革委予以命名并发文通报。</w:t>
      </w:r>
    </w:p>
    <w:p>
      <w:pPr>
        <w:ind w:firstLine="645"/>
        <w:rPr>
          <w:rFonts w:ascii="黑体" w:hAnsi="黑体" w:eastAsia="黑体" w:cs="黑体"/>
          <w:sz w:val="32"/>
          <w:szCs w:val="20"/>
          <w:lang w:val="zh-CN"/>
        </w:rPr>
      </w:pPr>
      <w:r>
        <w:rPr>
          <w:rFonts w:hint="eastAsia" w:ascii="黑体" w:hAnsi="黑体" w:eastAsia="黑体" w:cs="黑体"/>
          <w:sz w:val="32"/>
          <w:szCs w:val="20"/>
          <w:lang w:val="zh-CN"/>
        </w:rPr>
        <w:t>六、撤销命名与退出程序</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（一）撤销命名</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已命名示范城市存在下列情形之一的，由国家卫生健康委、国家发展改革委撤销命名。</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1.发生重大安全责任事故的；</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2.措施不力，工作退步，存在弄虚作假等情形的；</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3.托育机构、婴幼儿家庭对政策环境和服务管理满意度不高的。</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（二）退出程序</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1.出现上述所列情形的，由省卫生健康委、发展改革委调查核实，并将核实情况上报国家卫生健康委、国家发展改革委。</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2.国家卫生健康委、国家发展改革委研究决定撤销命名，并通过适当方式向社会公布。</w:t>
      </w:r>
    </w:p>
    <w:p>
      <w:pPr>
        <w:ind w:firstLine="640" w:firstLineChars="200"/>
        <w:rPr>
          <w:rFonts w:ascii="仿宋_GB2312" w:hAnsi="仿宋_GB2312" w:eastAsia="仿宋_GB2312"/>
          <w:sz w:val="32"/>
          <w:szCs w:val="20"/>
          <w:lang w:val="zh-CN"/>
        </w:rPr>
      </w:pPr>
      <w:r>
        <w:rPr>
          <w:rFonts w:hint="eastAsia" w:ascii="仿宋_GB2312" w:hAnsi="仿宋_GB2312" w:eastAsia="仿宋_GB2312"/>
          <w:sz w:val="32"/>
          <w:szCs w:val="20"/>
          <w:lang w:val="zh-CN"/>
        </w:rPr>
        <w:t>3.被撤销示范城市称号的，取消下一期参加评选资格。</w:t>
      </w:r>
    </w:p>
    <w:p>
      <w:pPr>
        <w:ind w:firstLine="640"/>
        <w:rPr>
          <w:rFonts w:ascii="黑体" w:hAnsi="黑体" w:eastAsia="黑体" w:cs="黑体"/>
          <w:sz w:val="32"/>
          <w:szCs w:val="20"/>
          <w:lang w:val="zh-CN"/>
        </w:rPr>
      </w:pPr>
      <w:r>
        <w:rPr>
          <w:rFonts w:hint="eastAsia" w:ascii="黑体" w:hAnsi="黑体" w:eastAsia="黑体" w:cs="黑体"/>
          <w:sz w:val="32"/>
          <w:szCs w:val="20"/>
          <w:lang w:val="zh-CN"/>
        </w:rPr>
        <w:t>七、相关要求</w:t>
      </w:r>
    </w:p>
    <w:p>
      <w:pPr>
        <w:shd w:val="solid" w:color="FFFFFF" w:fill="auto"/>
        <w:autoSpaceDN w:val="0"/>
        <w:ind w:firstLine="640"/>
        <w:textAlignment w:val="baseline"/>
        <w:rPr>
          <w:rFonts w:ascii="仿宋_GB2312" w:hAnsi="仿宋_GB2312" w:eastAsia="仿宋_GB2312"/>
          <w:sz w:val="32"/>
          <w:szCs w:val="20"/>
        </w:rPr>
      </w:pPr>
      <w:r>
        <w:rPr>
          <w:rFonts w:hint="eastAsia" w:ascii="仿宋_GB2312" w:hAnsi="仿宋_GB2312" w:eastAsia="仿宋_GB2312"/>
          <w:sz w:val="32"/>
          <w:szCs w:val="20"/>
          <w:lang w:val="zh-CN"/>
        </w:rPr>
        <w:t>（一）加强组织领导。各市卫生健康委、发展改革委要高度重视，把示范城市创建活动作为贯彻落实党中央、国务院决策部署以及促进婴幼儿照护服务高质量发展的重要抓手，主要领导亲自抓，分管领导具体抓。</w:t>
      </w:r>
      <w:r>
        <w:rPr>
          <w:rFonts w:ascii="仿宋_GB2312" w:hAnsi="仿宋_GB2312" w:eastAsia="仿宋_GB2312"/>
          <w:sz w:val="32"/>
          <w:szCs w:val="20"/>
          <w:lang w:val="zh-CN"/>
        </w:rPr>
        <w:t>要建立联席会议制度，明确相关部门责任，做好创建活动的组织、指导和协调工作，定期对创建活动的进展情况进行检查和督促，确保创建活动稳步推进。</w:t>
      </w:r>
    </w:p>
    <w:p>
      <w:pPr>
        <w:shd w:val="solid" w:color="FFFFFF" w:fill="auto"/>
        <w:autoSpaceDN w:val="0"/>
        <w:ind w:firstLine="640"/>
        <w:textAlignment w:val="baseline"/>
        <w:rPr>
          <w:rFonts w:ascii="仿宋_GB2312" w:hAnsi="仿宋_GB2312" w:eastAsia="仿宋_GB2312"/>
          <w:sz w:val="32"/>
          <w:szCs w:val="20"/>
          <w:lang w:val="zh-CN"/>
        </w:rPr>
      </w:pPr>
      <w:r>
        <w:rPr>
          <w:rFonts w:hint="eastAsia" w:ascii="仿宋_GB2312" w:hAnsi="仿宋_GB2312" w:eastAsia="仿宋_GB2312"/>
          <w:sz w:val="32"/>
          <w:szCs w:val="20"/>
          <w:lang w:val="zh-CN"/>
        </w:rPr>
        <w:t>（二）认真组织实施。省卫生健康委、发展改革委将对</w:t>
      </w:r>
      <w:r>
        <w:rPr>
          <w:rFonts w:ascii="仿宋_GB2312" w:hAnsi="仿宋_GB2312" w:eastAsia="仿宋_GB2312"/>
          <w:sz w:val="32"/>
          <w:szCs w:val="20"/>
          <w:lang w:val="zh-CN"/>
        </w:rPr>
        <w:t>创建活动全过程</w:t>
      </w:r>
      <w:r>
        <w:rPr>
          <w:rFonts w:hint="eastAsia" w:ascii="仿宋_GB2312" w:hAnsi="仿宋_GB2312" w:eastAsia="仿宋_GB2312"/>
          <w:sz w:val="32"/>
          <w:szCs w:val="20"/>
          <w:lang w:val="zh-CN"/>
        </w:rPr>
        <w:t>进行</w:t>
      </w:r>
      <w:r>
        <w:rPr>
          <w:rFonts w:ascii="仿宋_GB2312" w:hAnsi="仿宋_GB2312" w:eastAsia="仿宋_GB2312"/>
          <w:sz w:val="32"/>
          <w:szCs w:val="20"/>
          <w:lang w:val="zh-CN"/>
        </w:rPr>
        <w:t>调研指导，严格评审标准和程序，确保创建活动的质量和生命力。总结示范城市的经验做法，鼓励因地制宜、创新发展，加强宣传与推介，营造良好社会氛围。</w:t>
      </w:r>
    </w:p>
    <w:p>
      <w:pPr>
        <w:ind w:firstLine="640" w:firstLineChars="200"/>
        <w:rPr>
          <w:rFonts w:ascii="仿宋_GB2312" w:hAnsi="仿宋_GB2312" w:eastAsia="仿宋_GB2312"/>
          <w:sz w:val="32"/>
          <w:szCs w:val="20"/>
          <w:lang w:val="zh-CN"/>
        </w:rPr>
      </w:pPr>
      <w:r>
        <w:rPr>
          <w:rFonts w:hint="eastAsia" w:ascii="仿宋_GB2312" w:hAnsi="仿宋_GB2312" w:eastAsia="仿宋_GB2312"/>
          <w:sz w:val="32"/>
          <w:szCs w:val="20"/>
          <w:lang w:val="zh-CN"/>
        </w:rPr>
        <w:t>（三）严明工作纪律。各市要严肃认真开展示范城市创建活动，对在创建活动中组织指导不力、搞形式主义、走过场的、弄虚作假的，一经查实，要严肃处理。</w:t>
      </w:r>
    </w:p>
    <w:p>
      <w:pPr>
        <w:ind w:firstLine="640" w:firstLineChars="200"/>
        <w:rPr>
          <w:rFonts w:ascii="仿宋_GB2312" w:hAnsi="仿宋_GB2312" w:eastAsia="仿宋_GB2312"/>
          <w:sz w:val="32"/>
          <w:szCs w:val="20"/>
          <w:lang w:val="zh-CN"/>
        </w:rPr>
      </w:pPr>
      <w:r>
        <w:rPr>
          <w:rFonts w:hint="eastAsia" w:ascii="仿宋_GB2312" w:hAnsi="仿宋_GB2312" w:eastAsia="仿宋_GB2312"/>
          <w:sz w:val="32"/>
          <w:szCs w:val="20"/>
          <w:lang w:val="zh-CN"/>
        </w:rPr>
        <w:t>（四）报送相关材料。有创建意愿的市，请于</w:t>
      </w:r>
      <w:r>
        <w:rPr>
          <w:rFonts w:ascii="仿宋_GB2312" w:hAnsi="仿宋_GB2312" w:eastAsia="仿宋_GB2312"/>
          <w:sz w:val="32"/>
          <w:szCs w:val="20"/>
          <w:lang w:val="zh-CN"/>
        </w:rPr>
        <w:t>2022</w:t>
      </w:r>
      <w:r>
        <w:rPr>
          <w:rFonts w:hint="eastAsia" w:ascii="仿宋_GB2312" w:hAnsi="仿宋_GB2312" w:eastAsia="仿宋_GB2312"/>
          <w:sz w:val="32"/>
          <w:szCs w:val="20"/>
          <w:lang w:val="zh-CN"/>
        </w:rPr>
        <w:t>年</w:t>
      </w:r>
      <w:r>
        <w:rPr>
          <w:rFonts w:ascii="仿宋_GB2312" w:hAnsi="仿宋_GB2312" w:eastAsia="仿宋_GB2312"/>
          <w:sz w:val="32"/>
          <w:szCs w:val="20"/>
          <w:lang w:val="zh-CN"/>
        </w:rPr>
        <w:t>5</w:t>
      </w:r>
      <w:r>
        <w:rPr>
          <w:rFonts w:hint="eastAsia" w:ascii="仿宋_GB2312" w:hAnsi="仿宋_GB2312" w:eastAsia="仿宋_GB2312"/>
          <w:sz w:val="32"/>
          <w:szCs w:val="20"/>
          <w:lang w:val="zh-CN"/>
        </w:rPr>
        <w:t>月3</w:t>
      </w:r>
      <w:r>
        <w:rPr>
          <w:rFonts w:ascii="仿宋_GB2312" w:hAnsi="仿宋_GB2312" w:eastAsia="仿宋_GB2312"/>
          <w:sz w:val="32"/>
          <w:szCs w:val="20"/>
          <w:lang w:val="zh-CN"/>
        </w:rPr>
        <w:t>1</w:t>
      </w:r>
      <w:r>
        <w:rPr>
          <w:rFonts w:hint="eastAsia" w:ascii="仿宋_GB2312" w:hAnsi="仿宋_GB2312" w:eastAsia="仿宋_GB2312"/>
          <w:sz w:val="32"/>
          <w:szCs w:val="20"/>
          <w:lang w:val="zh-CN"/>
        </w:rPr>
        <w:t>日前，以市人民政府名义向省卫生健康委、发展改革委报送创建申请报告，并附</w:t>
      </w:r>
      <w:r>
        <w:rPr>
          <w:rFonts w:ascii="仿宋_GB2312" w:hAnsi="仿宋_GB2312" w:eastAsia="仿宋_GB2312"/>
          <w:sz w:val="32"/>
          <w:szCs w:val="20"/>
          <w:lang w:val="zh-CN"/>
        </w:rPr>
        <w:t>自评</w:t>
      </w:r>
      <w:r>
        <w:rPr>
          <w:rFonts w:hint="eastAsia" w:ascii="仿宋_GB2312" w:hAnsi="仿宋_GB2312" w:eastAsia="仿宋_GB2312"/>
          <w:sz w:val="32"/>
          <w:szCs w:val="20"/>
          <w:lang w:val="zh-CN"/>
        </w:rPr>
        <w:t>报告及自评表</w:t>
      </w:r>
      <w:r>
        <w:rPr>
          <w:rFonts w:ascii="仿宋_GB2312" w:hAnsi="仿宋_GB2312" w:eastAsia="仿宋_GB2312"/>
          <w:sz w:val="32"/>
          <w:szCs w:val="20"/>
          <w:lang w:val="zh-CN"/>
        </w:rPr>
        <w:t>（</w:t>
      </w:r>
      <w:r>
        <w:rPr>
          <w:rFonts w:hint="eastAsia" w:ascii="仿宋_GB2312" w:hAnsi="仿宋_GB2312" w:eastAsia="仿宋_GB2312"/>
          <w:sz w:val="32"/>
          <w:szCs w:val="20"/>
          <w:lang w:val="zh-CN"/>
        </w:rPr>
        <w:t>见附件）。被国家命名的市，每年向省卫生健康委、发展改革委报送全国婴幼儿照护服务示范城市工作情况。</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 xml:space="preserve">联系人：省卫生健康委人口家庭处 </w:t>
      </w:r>
      <w:r>
        <w:rPr>
          <w:rFonts w:ascii="仿宋_GB2312" w:hAnsi="仿宋_GB2312" w:eastAsia="仿宋_GB2312"/>
          <w:sz w:val="32"/>
          <w:szCs w:val="20"/>
          <w:lang w:val="zh-CN"/>
        </w:rPr>
        <w:t xml:space="preserve"> </w:t>
      </w:r>
      <w:r>
        <w:rPr>
          <w:rFonts w:hint="eastAsia" w:ascii="仿宋_GB2312" w:hAnsi="仿宋_GB2312" w:eastAsia="仿宋_GB2312"/>
          <w:sz w:val="32"/>
          <w:szCs w:val="20"/>
          <w:lang w:val="zh-CN"/>
        </w:rPr>
        <w:t>张宝珠</w:t>
      </w:r>
    </w:p>
    <w:p>
      <w:pPr>
        <w:ind w:firstLine="640" w:firstLineChars="2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联系方式：0</w:t>
      </w:r>
      <w:r>
        <w:rPr>
          <w:rFonts w:ascii="仿宋_GB2312" w:hAnsi="仿宋_GB2312" w:eastAsia="仿宋_GB2312"/>
          <w:sz w:val="32"/>
          <w:szCs w:val="20"/>
          <w:lang w:val="zh-CN"/>
        </w:rPr>
        <w:t>24</w:t>
      </w:r>
      <w:r>
        <w:rPr>
          <w:rFonts w:hint="eastAsia" w:ascii="仿宋_GB2312" w:hAnsi="仿宋_GB2312" w:eastAsia="仿宋_GB2312"/>
          <w:sz w:val="32"/>
          <w:szCs w:val="20"/>
          <w:lang w:val="zh-CN"/>
        </w:rPr>
        <w:t>-</w:t>
      </w:r>
      <w:r>
        <w:rPr>
          <w:rFonts w:ascii="仿宋_GB2312" w:hAnsi="仿宋_GB2312" w:eastAsia="仿宋_GB2312"/>
          <w:sz w:val="32"/>
          <w:szCs w:val="20"/>
          <w:lang w:val="zh-CN"/>
        </w:rPr>
        <w:t>23392193  024</w:t>
      </w:r>
      <w:r>
        <w:rPr>
          <w:rFonts w:hint="eastAsia" w:ascii="仿宋_GB2312" w:hAnsi="仿宋_GB2312" w:eastAsia="仿宋_GB2312"/>
          <w:sz w:val="32"/>
          <w:szCs w:val="20"/>
          <w:lang w:val="zh-CN"/>
        </w:rPr>
        <w:t>-</w:t>
      </w:r>
      <w:r>
        <w:rPr>
          <w:rFonts w:ascii="仿宋_GB2312" w:hAnsi="仿宋_GB2312" w:eastAsia="仿宋_GB2312"/>
          <w:sz w:val="32"/>
          <w:szCs w:val="20"/>
          <w:lang w:val="zh-CN"/>
        </w:rPr>
        <w:t>23381628</w:t>
      </w:r>
    </w:p>
    <w:p>
      <w:pPr>
        <w:ind w:firstLine="640" w:firstLineChars="200"/>
        <w:jc w:val="left"/>
        <w:rPr>
          <w:rFonts w:ascii="仿宋_GB2312" w:hAnsi="仿宋_GB2312" w:eastAsia="仿宋_GB2312"/>
          <w:sz w:val="32"/>
          <w:szCs w:val="20"/>
          <w:lang w:val="zh-CN"/>
        </w:rPr>
      </w:pPr>
    </w:p>
    <w:p>
      <w:pPr>
        <w:ind w:firstLine="640" w:firstLineChars="200"/>
        <w:jc w:val="left"/>
        <w:rPr>
          <w:rFonts w:hint="eastAsia" w:ascii="仿宋_GB2312" w:hAnsi="仿宋_GB2312" w:eastAsia="仿宋_GB2312"/>
          <w:sz w:val="32"/>
          <w:szCs w:val="20"/>
          <w:lang w:val="zh-CN"/>
        </w:rPr>
      </w:pPr>
      <w:r>
        <w:rPr>
          <w:rFonts w:hint="eastAsia" w:ascii="仿宋_GB2312" w:hAnsi="仿宋_GB2312" w:eastAsia="仿宋_GB2312"/>
          <w:sz w:val="32"/>
          <w:szCs w:val="20"/>
          <w:lang w:val="zh-CN"/>
        </w:rPr>
        <w:t>附件：辽宁省开展全国婴幼儿照护服务示范城市创建活动</w:t>
      </w:r>
    </w:p>
    <w:p>
      <w:pPr>
        <w:ind w:firstLine="1600" w:firstLineChars="500"/>
        <w:jc w:val="left"/>
        <w:rPr>
          <w:rFonts w:ascii="仿宋_GB2312" w:hAnsi="仿宋_GB2312" w:eastAsia="仿宋_GB2312"/>
          <w:sz w:val="32"/>
          <w:szCs w:val="20"/>
          <w:lang w:val="zh-CN"/>
        </w:rPr>
      </w:pPr>
      <w:r>
        <w:rPr>
          <w:rFonts w:hint="eastAsia" w:ascii="仿宋_GB2312" w:hAnsi="仿宋_GB2312" w:eastAsia="仿宋_GB2312"/>
          <w:sz w:val="32"/>
          <w:szCs w:val="20"/>
          <w:lang w:val="zh-CN"/>
        </w:rPr>
        <w:t>评估指标体系</w:t>
      </w:r>
    </w:p>
    <w:p>
      <w:pPr>
        <w:ind w:firstLine="1280" w:firstLineChars="400"/>
        <w:jc w:val="left"/>
        <w:rPr>
          <w:rFonts w:ascii="仿宋_GB2312" w:hAnsi="仿宋_GB2312" w:eastAsia="仿宋_GB2312"/>
          <w:sz w:val="32"/>
          <w:szCs w:val="20"/>
          <w:lang w:val="zh-CN"/>
        </w:rPr>
      </w:pPr>
    </w:p>
    <w:p>
      <w:pPr>
        <w:ind w:firstLine="643"/>
        <w:rPr>
          <w:rFonts w:ascii="仿宋_GB2312" w:hAnsi="仿宋_GB2312" w:eastAsia="仿宋_GB2312"/>
          <w:sz w:val="32"/>
          <w:szCs w:val="20"/>
        </w:rPr>
      </w:pPr>
    </w:p>
    <w:p>
      <w:pPr>
        <w:ind w:firstLine="643"/>
        <w:rPr>
          <w:rFonts w:ascii="仿宋_GB2312" w:hAnsi="仿宋_GB2312" w:eastAsia="仿宋_GB2312"/>
          <w:sz w:val="32"/>
          <w:szCs w:val="20"/>
        </w:rPr>
      </w:pPr>
    </w:p>
    <w:p>
      <w:pPr>
        <w:ind w:firstLine="643"/>
        <w:rPr>
          <w:rFonts w:ascii="仿宋_GB2312" w:hAnsi="仿宋_GB2312" w:eastAsia="仿宋_GB2312"/>
          <w:sz w:val="32"/>
          <w:szCs w:val="20"/>
        </w:rPr>
      </w:pPr>
    </w:p>
    <w:p>
      <w:pPr>
        <w:ind w:firstLine="643"/>
        <w:rPr>
          <w:rFonts w:ascii="仿宋_GB2312" w:hAnsi="仿宋_GB2312" w:eastAsia="仿宋_GB2312"/>
          <w:sz w:val="32"/>
          <w:szCs w:val="20"/>
        </w:rPr>
      </w:pPr>
    </w:p>
    <w:p>
      <w:pPr>
        <w:ind w:firstLine="643"/>
        <w:rPr>
          <w:rFonts w:ascii="仿宋_GB2312" w:hAnsi="仿宋_GB2312" w:eastAsia="仿宋_GB2312"/>
          <w:sz w:val="32"/>
          <w:szCs w:val="20"/>
        </w:rPr>
      </w:pPr>
    </w:p>
    <w:p>
      <w:pPr>
        <w:shd w:val="solid" w:color="FFFFFF" w:fill="auto"/>
        <w:autoSpaceDN w:val="0"/>
        <w:spacing w:after="156" w:afterLines="50" w:line="640" w:lineRule="atLeast"/>
        <w:jc w:val="left"/>
        <w:textAlignment w:val="baseline"/>
        <w:rPr>
          <w:rFonts w:ascii="黑体" w:hAnsi="黑体" w:eastAsia="黑体"/>
          <w:sz w:val="32"/>
          <w:szCs w:val="20"/>
          <w:lang w:val="zh-CN"/>
        </w:rPr>
      </w:pPr>
      <w:r>
        <w:rPr>
          <w:rFonts w:hint="eastAsia" w:ascii="黑体" w:hAnsi="黑体" w:eastAsia="黑体"/>
          <w:sz w:val="32"/>
          <w:szCs w:val="20"/>
          <w:lang w:val="zh-CN"/>
        </w:rPr>
        <w:t>附件</w:t>
      </w:r>
    </w:p>
    <w:p>
      <w:pPr>
        <w:spacing w:line="440" w:lineRule="exact"/>
        <w:jc w:val="center"/>
        <w:rPr>
          <w:rFonts w:hint="eastAsia" w:ascii="方正小标宋简体" w:eastAsia="方正小标宋简体"/>
          <w:bCs/>
          <w:sz w:val="32"/>
          <w:szCs w:val="32"/>
        </w:rPr>
      </w:pPr>
      <w:r>
        <w:rPr>
          <w:rFonts w:hint="eastAsia" w:ascii="方正小标宋简体" w:eastAsia="方正小标宋简体"/>
          <w:bCs/>
          <w:sz w:val="32"/>
          <w:szCs w:val="32"/>
        </w:rPr>
        <w:t>辽宁省开展全国婴幼儿照护服务示范城市</w:t>
      </w:r>
    </w:p>
    <w:p>
      <w:pPr>
        <w:spacing w:after="100" w:afterAutospacing="1" w:line="440" w:lineRule="exact"/>
        <w:jc w:val="center"/>
        <w:rPr>
          <w:rFonts w:hint="eastAsia" w:ascii="方正小标宋简体" w:eastAsia="方正小标宋简体"/>
          <w:bCs/>
          <w:sz w:val="32"/>
          <w:szCs w:val="32"/>
        </w:rPr>
      </w:pPr>
      <w:r>
        <w:rPr>
          <w:rFonts w:hint="eastAsia" w:ascii="方正小标宋简体" w:eastAsia="方正小标宋简体"/>
          <w:bCs/>
          <w:sz w:val="32"/>
          <w:szCs w:val="32"/>
        </w:rPr>
        <w:t xml:space="preserve"> 创建活动评估指标体系</w:t>
      </w:r>
    </w:p>
    <w:tbl>
      <w:tblPr>
        <w:tblStyle w:val="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807"/>
        <w:gridCol w:w="708"/>
        <w:gridCol w:w="85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51" w:type="dxa"/>
            <w:vAlign w:val="center"/>
          </w:tcPr>
          <w:p>
            <w:pPr>
              <w:jc w:val="center"/>
              <w:rPr>
                <w:b/>
                <w:bCs/>
              </w:rPr>
            </w:pPr>
            <w:r>
              <w:rPr>
                <w:rFonts w:hint="eastAsia"/>
                <w:b/>
                <w:bCs/>
              </w:rPr>
              <w:t>指标</w:t>
            </w:r>
          </w:p>
        </w:tc>
        <w:tc>
          <w:tcPr>
            <w:tcW w:w="5807" w:type="dxa"/>
            <w:vAlign w:val="center"/>
          </w:tcPr>
          <w:p>
            <w:pPr>
              <w:jc w:val="center"/>
              <w:rPr>
                <w:b/>
                <w:bCs/>
              </w:rPr>
            </w:pPr>
            <w:r>
              <w:rPr>
                <w:rFonts w:hint="eastAsia"/>
                <w:b/>
                <w:bCs/>
              </w:rPr>
              <w:t>内容</w:t>
            </w:r>
          </w:p>
        </w:tc>
        <w:tc>
          <w:tcPr>
            <w:tcW w:w="708" w:type="dxa"/>
            <w:vAlign w:val="center"/>
          </w:tcPr>
          <w:p>
            <w:pPr>
              <w:jc w:val="center"/>
              <w:rPr>
                <w:b/>
                <w:bCs/>
              </w:rPr>
            </w:pPr>
            <w:r>
              <w:rPr>
                <w:rFonts w:hint="eastAsia"/>
                <w:b/>
                <w:bCs/>
              </w:rPr>
              <w:t>分值</w:t>
            </w:r>
          </w:p>
        </w:tc>
        <w:tc>
          <w:tcPr>
            <w:tcW w:w="851" w:type="dxa"/>
            <w:vAlign w:val="center"/>
          </w:tcPr>
          <w:p>
            <w:pPr>
              <w:jc w:val="center"/>
              <w:rPr>
                <w:b/>
                <w:bCs/>
              </w:rPr>
            </w:pPr>
            <w:r>
              <w:rPr>
                <w:rFonts w:hint="eastAsia"/>
                <w:b/>
                <w:bCs/>
              </w:rPr>
              <w:t>自评分</w:t>
            </w:r>
          </w:p>
        </w:tc>
        <w:tc>
          <w:tcPr>
            <w:tcW w:w="1281" w:type="dxa"/>
            <w:vAlign w:val="center"/>
          </w:tcPr>
          <w:p>
            <w:pPr>
              <w:jc w:val="center"/>
              <w:rPr>
                <w:b/>
                <w:bCs/>
              </w:rPr>
            </w:pPr>
            <w:r>
              <w:rPr>
                <w:rFonts w:hint="eastAsia"/>
                <w:b/>
                <w:bCs/>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851" w:type="dxa"/>
            <w:vMerge w:val="restart"/>
            <w:vAlign w:val="center"/>
          </w:tcPr>
          <w:p>
            <w:pPr>
              <w:jc w:val="center"/>
              <w:rPr>
                <w:b/>
                <w:bCs/>
              </w:rPr>
            </w:pPr>
            <w:r>
              <w:rPr>
                <w:rFonts w:hint="eastAsia"/>
                <w:b/>
                <w:bCs/>
              </w:rPr>
              <w:t>（一）</w:t>
            </w:r>
            <w:r>
              <w:rPr>
                <w:b/>
                <w:bCs/>
              </w:rPr>
              <w:t>党政</w:t>
            </w:r>
          </w:p>
          <w:p>
            <w:pPr>
              <w:jc w:val="center"/>
              <w:rPr>
                <w:b/>
                <w:bCs/>
              </w:rPr>
            </w:pPr>
            <w:r>
              <w:rPr>
                <w:b/>
                <w:bCs/>
              </w:rPr>
              <w:t>责任</w:t>
            </w:r>
          </w:p>
          <w:p>
            <w:pPr>
              <w:jc w:val="center"/>
              <w:rPr>
                <w:b/>
                <w:bCs/>
              </w:rPr>
            </w:pPr>
            <w:r>
              <w:rPr>
                <w:rFonts w:hint="eastAsia"/>
                <w:b/>
                <w:bCs/>
              </w:rPr>
              <w:t>2</w:t>
            </w:r>
            <w:r>
              <w:rPr>
                <w:b/>
                <w:bCs/>
              </w:rPr>
              <w:t>5</w:t>
            </w:r>
            <w:r>
              <w:rPr>
                <w:rFonts w:hint="eastAsia"/>
                <w:b/>
                <w:bCs/>
              </w:rPr>
              <w:t>分</w:t>
            </w:r>
          </w:p>
        </w:tc>
        <w:tc>
          <w:tcPr>
            <w:tcW w:w="5807" w:type="dxa"/>
            <w:vAlign w:val="top"/>
          </w:tcPr>
          <w:p>
            <w:pPr>
              <w:jc w:val="left"/>
              <w:rPr>
                <w:sz w:val="18"/>
                <w:szCs w:val="18"/>
              </w:rPr>
            </w:pPr>
            <w:r>
              <w:rPr>
                <w:rFonts w:hint="eastAsia"/>
                <w:sz w:val="18"/>
                <w:szCs w:val="18"/>
              </w:rPr>
              <w:t>1.</w:t>
            </w:r>
            <w:r>
              <w:rPr>
                <w:sz w:val="18"/>
                <w:szCs w:val="18"/>
              </w:rPr>
              <w:t>党政</w:t>
            </w:r>
            <w:r>
              <w:rPr>
                <w:rFonts w:hint="eastAsia"/>
                <w:sz w:val="18"/>
                <w:szCs w:val="18"/>
              </w:rPr>
              <w:t>领导亲自抓</w:t>
            </w:r>
            <w:r>
              <w:rPr>
                <w:sz w:val="18"/>
                <w:szCs w:val="18"/>
              </w:rPr>
              <w:t>，相关部门职责</w:t>
            </w:r>
            <w:r>
              <w:rPr>
                <w:rFonts w:hint="eastAsia"/>
                <w:sz w:val="18"/>
                <w:szCs w:val="18"/>
              </w:rPr>
              <w:t>分工明确；召开专题会议，解决重点难点问题。无职责分工扣</w:t>
            </w:r>
            <w:r>
              <w:rPr>
                <w:sz w:val="18"/>
                <w:szCs w:val="18"/>
              </w:rPr>
              <w:t>3</w:t>
            </w:r>
            <w:r>
              <w:rPr>
                <w:rFonts w:hint="eastAsia"/>
                <w:sz w:val="18"/>
                <w:szCs w:val="18"/>
              </w:rPr>
              <w:t>分，未召开专题会议扣</w:t>
            </w:r>
            <w:r>
              <w:rPr>
                <w:sz w:val="18"/>
                <w:szCs w:val="18"/>
              </w:rPr>
              <w:t>3</w:t>
            </w:r>
            <w:r>
              <w:rPr>
                <w:rFonts w:hint="eastAsia"/>
                <w:sz w:val="18"/>
                <w:szCs w:val="18"/>
              </w:rPr>
              <w:t>分，召开会议未解决实际问题扣</w:t>
            </w:r>
            <w:r>
              <w:rPr>
                <w:sz w:val="18"/>
                <w:szCs w:val="18"/>
              </w:rPr>
              <w:t>2</w:t>
            </w:r>
            <w:r>
              <w:rPr>
                <w:rFonts w:hint="eastAsia"/>
                <w:sz w:val="18"/>
                <w:szCs w:val="18"/>
              </w:rPr>
              <w:t>分。</w:t>
            </w:r>
          </w:p>
        </w:tc>
        <w:tc>
          <w:tcPr>
            <w:tcW w:w="708" w:type="dxa"/>
            <w:vAlign w:val="center"/>
          </w:tcPr>
          <w:p>
            <w:pPr>
              <w:jc w:val="center"/>
              <w:rPr>
                <w:b/>
                <w:bCs/>
              </w:rPr>
            </w:pPr>
            <w:r>
              <w:rPr>
                <w:b/>
                <w:bCs/>
              </w:rPr>
              <w:t>6</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rFonts w:hint="eastAsia"/>
                <w:sz w:val="18"/>
                <w:szCs w:val="18"/>
              </w:rPr>
              <w:t>2.婴幼儿照护服务工作所需经费纳入政府财政预算。未纳入预算不得分，纳入预算但未专款专用扣</w:t>
            </w:r>
            <w:r>
              <w:rPr>
                <w:sz w:val="18"/>
                <w:szCs w:val="18"/>
              </w:rPr>
              <w:t>3</w:t>
            </w:r>
            <w:r>
              <w:rPr>
                <w:rFonts w:hint="eastAsia"/>
                <w:sz w:val="18"/>
                <w:szCs w:val="18"/>
              </w:rPr>
              <w:t>分。</w:t>
            </w:r>
          </w:p>
        </w:tc>
        <w:tc>
          <w:tcPr>
            <w:tcW w:w="708" w:type="dxa"/>
            <w:vAlign w:val="center"/>
          </w:tcPr>
          <w:p>
            <w:pPr>
              <w:jc w:val="center"/>
              <w:rPr>
                <w:b/>
                <w:bCs/>
              </w:rPr>
            </w:pPr>
            <w:r>
              <w:rPr>
                <w:rFonts w:hint="eastAsia"/>
                <w:b/>
                <w:bCs/>
              </w:rPr>
              <w:t>6</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3.</w:t>
            </w:r>
            <w:r>
              <w:rPr>
                <w:sz w:val="18"/>
                <w:szCs w:val="18"/>
              </w:rPr>
              <w:t>将婴幼儿照护服务纳入当地国民经济和社会发展规划，出台“十四五”托育服务体系建设专项规划或实施方案。</w:t>
            </w:r>
            <w:r>
              <w:rPr>
                <w:rFonts w:hint="eastAsia"/>
                <w:sz w:val="18"/>
                <w:szCs w:val="18"/>
              </w:rPr>
              <w:t>未纳入规划的扣2分，未出台专项规划或实施方案的扣2分，方案中</w:t>
            </w:r>
            <w:r>
              <w:rPr>
                <w:sz w:val="18"/>
                <w:szCs w:val="18"/>
              </w:rPr>
              <w:t>服务体系建设目标、建设任务、资金来源、运营方式等</w:t>
            </w:r>
            <w:r>
              <w:rPr>
                <w:rFonts w:hint="eastAsia"/>
                <w:sz w:val="18"/>
                <w:szCs w:val="18"/>
              </w:rPr>
              <w:t>不明确的扣</w:t>
            </w:r>
            <w:r>
              <w:rPr>
                <w:sz w:val="18"/>
                <w:szCs w:val="18"/>
              </w:rPr>
              <w:t>2</w:t>
            </w:r>
            <w:r>
              <w:rPr>
                <w:rFonts w:hint="eastAsia"/>
                <w:sz w:val="18"/>
                <w:szCs w:val="18"/>
              </w:rPr>
              <w:t>分。</w:t>
            </w:r>
          </w:p>
        </w:tc>
        <w:tc>
          <w:tcPr>
            <w:tcW w:w="708" w:type="dxa"/>
            <w:vAlign w:val="center"/>
          </w:tcPr>
          <w:p>
            <w:pPr>
              <w:jc w:val="center"/>
              <w:rPr>
                <w:b/>
                <w:bCs/>
              </w:rPr>
            </w:pPr>
            <w:r>
              <w:rPr>
                <w:b/>
                <w:bCs/>
              </w:rPr>
              <w:t>6</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4.</w:t>
            </w:r>
            <w:r>
              <w:rPr>
                <w:sz w:val="18"/>
                <w:szCs w:val="18"/>
              </w:rPr>
              <w:t>制定“一老一小”整体解决方案，积极组织实施并取得良好成效</w:t>
            </w:r>
            <w:r>
              <w:rPr>
                <w:rFonts w:hint="eastAsia"/>
                <w:sz w:val="18"/>
                <w:szCs w:val="18"/>
              </w:rPr>
              <w:t>。未制定解决方案的不得分，方案实施效果不好的扣3分。</w:t>
            </w:r>
          </w:p>
        </w:tc>
        <w:tc>
          <w:tcPr>
            <w:tcW w:w="708" w:type="dxa"/>
            <w:vAlign w:val="center"/>
          </w:tcPr>
          <w:p>
            <w:pPr>
              <w:jc w:val="center"/>
              <w:rPr>
                <w:b/>
                <w:bCs/>
              </w:rPr>
            </w:pPr>
            <w:r>
              <w:rPr>
                <w:b/>
                <w:bCs/>
              </w:rPr>
              <w:t>5</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5.</w:t>
            </w:r>
            <w:r>
              <w:rPr>
                <w:sz w:val="18"/>
                <w:szCs w:val="18"/>
              </w:rPr>
              <w:t>制定出台推进婴幼儿照护服务实施意见或细则。</w:t>
            </w:r>
            <w:r>
              <w:rPr>
                <w:rFonts w:hint="eastAsia"/>
                <w:sz w:val="18"/>
                <w:szCs w:val="18"/>
              </w:rPr>
              <w:t>未制定</w:t>
            </w:r>
            <w:r>
              <w:rPr>
                <w:sz w:val="18"/>
                <w:szCs w:val="18"/>
              </w:rPr>
              <w:t>实施意见或细则</w:t>
            </w:r>
            <w:r>
              <w:rPr>
                <w:rFonts w:hint="eastAsia"/>
                <w:sz w:val="18"/>
                <w:szCs w:val="18"/>
              </w:rPr>
              <w:t>的不得分。</w:t>
            </w:r>
          </w:p>
        </w:tc>
        <w:tc>
          <w:tcPr>
            <w:tcW w:w="708" w:type="dxa"/>
            <w:vAlign w:val="center"/>
          </w:tcPr>
          <w:p>
            <w:pPr>
              <w:jc w:val="center"/>
              <w:rPr>
                <w:b/>
                <w:bCs/>
              </w:rPr>
            </w:pPr>
            <w:r>
              <w:rPr>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jc w:val="center"/>
              <w:rPr>
                <w:b/>
                <w:bCs/>
              </w:rPr>
            </w:pPr>
            <w:r>
              <w:rPr>
                <w:rFonts w:hint="eastAsia"/>
                <w:b/>
                <w:bCs/>
              </w:rPr>
              <w:t>（二）</w:t>
            </w:r>
            <w:r>
              <w:rPr>
                <w:b/>
                <w:bCs/>
              </w:rPr>
              <w:t>政策 支持</w:t>
            </w:r>
          </w:p>
          <w:p>
            <w:pPr>
              <w:jc w:val="center"/>
              <w:rPr>
                <w:b/>
                <w:bCs/>
              </w:rPr>
            </w:pPr>
            <w:r>
              <w:rPr>
                <w:rFonts w:hint="eastAsia"/>
                <w:b/>
                <w:bCs/>
              </w:rPr>
              <w:t>24分</w:t>
            </w:r>
          </w:p>
        </w:tc>
        <w:tc>
          <w:tcPr>
            <w:tcW w:w="5807" w:type="dxa"/>
            <w:vAlign w:val="top"/>
          </w:tcPr>
          <w:p>
            <w:pPr>
              <w:jc w:val="left"/>
              <w:rPr>
                <w:sz w:val="18"/>
                <w:szCs w:val="18"/>
              </w:rPr>
            </w:pPr>
            <w:r>
              <w:rPr>
                <w:rFonts w:hint="eastAsia"/>
                <w:sz w:val="18"/>
                <w:szCs w:val="18"/>
              </w:rPr>
              <w:t>1.</w:t>
            </w:r>
            <w:r>
              <w:rPr>
                <w:sz w:val="18"/>
                <w:szCs w:val="18"/>
              </w:rPr>
              <w:t>出台规划、土地、住房、财政、投资、融资、人才等方面支持政策。</w:t>
            </w:r>
            <w:r>
              <w:rPr>
                <w:rFonts w:hint="eastAsia"/>
                <w:sz w:val="18"/>
                <w:szCs w:val="18"/>
              </w:rPr>
              <w:t>每出台一项支持政策得1分，总分不超过</w:t>
            </w:r>
            <w:r>
              <w:rPr>
                <w:sz w:val="18"/>
                <w:szCs w:val="18"/>
              </w:rPr>
              <w:t>3</w:t>
            </w:r>
            <w:r>
              <w:rPr>
                <w:rFonts w:hint="eastAsia"/>
                <w:sz w:val="18"/>
                <w:szCs w:val="18"/>
              </w:rPr>
              <w:t>分。</w:t>
            </w:r>
          </w:p>
        </w:tc>
        <w:tc>
          <w:tcPr>
            <w:tcW w:w="708" w:type="dxa"/>
            <w:vAlign w:val="center"/>
          </w:tcPr>
          <w:p>
            <w:pPr>
              <w:jc w:val="center"/>
              <w:rPr>
                <w:b/>
                <w:bCs/>
              </w:rPr>
            </w:pPr>
            <w:r>
              <w:rPr>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rFonts w:hint="eastAsia"/>
                <w:sz w:val="18"/>
                <w:szCs w:val="18"/>
              </w:rPr>
              <w:t>2.</w:t>
            </w:r>
            <w:r>
              <w:rPr>
                <w:sz w:val="18"/>
                <w:szCs w:val="18"/>
              </w:rPr>
              <w:t>在年度建设用地供应计划中</w:t>
            </w:r>
            <w:r>
              <w:rPr>
                <w:rFonts w:hint="eastAsia"/>
                <w:sz w:val="18"/>
                <w:szCs w:val="18"/>
              </w:rPr>
              <w:t>保障</w:t>
            </w:r>
            <w:r>
              <w:rPr>
                <w:sz w:val="18"/>
                <w:szCs w:val="18"/>
              </w:rPr>
              <w:t>托育用地</w:t>
            </w:r>
            <w:r>
              <w:rPr>
                <w:rFonts w:hint="eastAsia"/>
                <w:sz w:val="18"/>
                <w:szCs w:val="18"/>
              </w:rPr>
              <w:t>需求，并安排在合理区域</w:t>
            </w:r>
            <w:r>
              <w:rPr>
                <w:sz w:val="18"/>
                <w:szCs w:val="18"/>
              </w:rPr>
              <w:t>。</w:t>
            </w:r>
            <w:r>
              <w:rPr>
                <w:rFonts w:hint="eastAsia"/>
                <w:sz w:val="18"/>
                <w:szCs w:val="18"/>
              </w:rPr>
              <w:t>未能保障用地需求的不得分，安排不合理的扣</w:t>
            </w:r>
            <w:r>
              <w:rPr>
                <w:sz w:val="18"/>
                <w:szCs w:val="18"/>
              </w:rPr>
              <w:t>1</w:t>
            </w:r>
            <w:r>
              <w:rPr>
                <w:rFonts w:hint="eastAsia"/>
                <w:sz w:val="18"/>
                <w:szCs w:val="18"/>
              </w:rPr>
              <w:t>分。</w:t>
            </w:r>
          </w:p>
        </w:tc>
        <w:tc>
          <w:tcPr>
            <w:tcW w:w="708" w:type="dxa"/>
            <w:vAlign w:val="center"/>
          </w:tcPr>
          <w:p>
            <w:pPr>
              <w:jc w:val="center"/>
              <w:rPr>
                <w:b/>
                <w:bCs/>
              </w:rPr>
            </w:pPr>
            <w:r>
              <w:rPr>
                <w:rFonts w:hint="eastAsia"/>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rFonts w:hint="eastAsia"/>
                <w:sz w:val="18"/>
                <w:szCs w:val="18"/>
              </w:rPr>
              <w:t>3.</w:t>
            </w:r>
            <w:r>
              <w:rPr>
                <w:sz w:val="18"/>
                <w:szCs w:val="18"/>
              </w:rPr>
              <w:t>支持将各类房屋和设施用于发展托育</w:t>
            </w:r>
            <w:r>
              <w:rPr>
                <w:rFonts w:hint="eastAsia"/>
                <w:sz w:val="18"/>
                <w:szCs w:val="18"/>
              </w:rPr>
              <w:t>。没有出台具体举措的不得分。</w:t>
            </w:r>
          </w:p>
        </w:tc>
        <w:tc>
          <w:tcPr>
            <w:tcW w:w="708" w:type="dxa"/>
            <w:vAlign w:val="center"/>
          </w:tcPr>
          <w:p>
            <w:pPr>
              <w:jc w:val="center"/>
              <w:rPr>
                <w:b/>
                <w:bCs/>
              </w:rPr>
            </w:pPr>
            <w:r>
              <w:rPr>
                <w:rFonts w:hint="eastAsia"/>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sz w:val="18"/>
                <w:szCs w:val="18"/>
              </w:rPr>
              <w:t>4</w:t>
            </w:r>
            <w:r>
              <w:rPr>
                <w:rFonts w:hint="eastAsia"/>
                <w:sz w:val="18"/>
                <w:szCs w:val="18"/>
              </w:rPr>
              <w:t>.</w:t>
            </w:r>
            <w:r>
              <w:rPr>
                <w:sz w:val="18"/>
                <w:szCs w:val="18"/>
              </w:rPr>
              <w:t>非独立场所按照相关安全规定标准改造建设托育点并通过验收的，无需变更土地和房屋性质。</w:t>
            </w:r>
            <w:r>
              <w:rPr>
                <w:rFonts w:hint="eastAsia"/>
                <w:sz w:val="18"/>
                <w:szCs w:val="18"/>
              </w:rPr>
              <w:t>强制要求</w:t>
            </w:r>
            <w:r>
              <w:rPr>
                <w:sz w:val="18"/>
                <w:szCs w:val="18"/>
              </w:rPr>
              <w:t>变更土地和房屋性质</w:t>
            </w:r>
            <w:r>
              <w:rPr>
                <w:rFonts w:hint="eastAsia"/>
                <w:sz w:val="18"/>
                <w:szCs w:val="18"/>
              </w:rPr>
              <w:t>的不得分。</w:t>
            </w:r>
          </w:p>
        </w:tc>
        <w:tc>
          <w:tcPr>
            <w:tcW w:w="708" w:type="dxa"/>
            <w:vAlign w:val="center"/>
          </w:tcPr>
          <w:p>
            <w:pPr>
              <w:jc w:val="center"/>
              <w:rPr>
                <w:b/>
                <w:bCs/>
              </w:rPr>
            </w:pPr>
            <w:r>
              <w:rPr>
                <w:rFonts w:hint="eastAsia"/>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5</w:t>
            </w:r>
            <w:r>
              <w:rPr>
                <w:sz w:val="18"/>
                <w:szCs w:val="18"/>
              </w:rPr>
              <w:t>.托育服务各项税费优惠政策全面、及时惠及市场主体，对吸纳符合条件劳动者的托育机构按规定给予社保补贴。</w:t>
            </w:r>
            <w:r>
              <w:rPr>
                <w:rFonts w:hint="eastAsia"/>
                <w:sz w:val="18"/>
                <w:szCs w:val="18"/>
              </w:rPr>
              <w:t>已有的</w:t>
            </w:r>
            <w:r>
              <w:rPr>
                <w:sz w:val="18"/>
                <w:szCs w:val="18"/>
              </w:rPr>
              <w:t>税费优惠政策</w:t>
            </w:r>
            <w:r>
              <w:rPr>
                <w:rFonts w:hint="eastAsia"/>
                <w:sz w:val="18"/>
                <w:szCs w:val="18"/>
              </w:rPr>
              <w:t>未及时惠及</w:t>
            </w:r>
            <w:r>
              <w:rPr>
                <w:sz w:val="18"/>
                <w:szCs w:val="18"/>
              </w:rPr>
              <w:t>市场主体</w:t>
            </w:r>
            <w:r>
              <w:rPr>
                <w:rFonts w:hint="eastAsia"/>
                <w:sz w:val="18"/>
                <w:szCs w:val="18"/>
              </w:rPr>
              <w:t>的扣</w:t>
            </w:r>
            <w:r>
              <w:rPr>
                <w:sz w:val="18"/>
                <w:szCs w:val="18"/>
              </w:rPr>
              <w:t>2</w:t>
            </w:r>
            <w:r>
              <w:rPr>
                <w:rFonts w:hint="eastAsia"/>
                <w:sz w:val="18"/>
                <w:szCs w:val="18"/>
              </w:rPr>
              <w:t>分，应</w:t>
            </w:r>
            <w:r>
              <w:rPr>
                <w:sz w:val="18"/>
                <w:szCs w:val="18"/>
              </w:rPr>
              <w:t>给予社保补贴</w:t>
            </w:r>
            <w:r>
              <w:rPr>
                <w:rFonts w:hint="eastAsia"/>
                <w:sz w:val="18"/>
                <w:szCs w:val="18"/>
              </w:rPr>
              <w:t>未补贴的扣</w:t>
            </w:r>
            <w:r>
              <w:rPr>
                <w:sz w:val="18"/>
                <w:szCs w:val="18"/>
              </w:rPr>
              <w:t>1</w:t>
            </w:r>
            <w:r>
              <w:rPr>
                <w:rFonts w:hint="eastAsia"/>
                <w:sz w:val="18"/>
                <w:szCs w:val="18"/>
              </w:rPr>
              <w:t>分</w:t>
            </w:r>
            <w:r>
              <w:rPr>
                <w:sz w:val="18"/>
                <w:szCs w:val="18"/>
              </w:rPr>
              <w:t>。</w:t>
            </w:r>
          </w:p>
        </w:tc>
        <w:tc>
          <w:tcPr>
            <w:tcW w:w="708" w:type="dxa"/>
            <w:vAlign w:val="center"/>
          </w:tcPr>
          <w:p>
            <w:pPr>
              <w:jc w:val="center"/>
              <w:rPr>
                <w:b/>
                <w:bCs/>
              </w:rPr>
            </w:pPr>
            <w:r>
              <w:rPr>
                <w:rFonts w:hint="eastAsia"/>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6.建立婴幼儿照护服务培训基地，开展职业技能培训。无培训基地的扣1分，未开展培训的扣</w:t>
            </w:r>
            <w:r>
              <w:rPr>
                <w:sz w:val="18"/>
                <w:szCs w:val="18"/>
              </w:rPr>
              <w:t>2</w:t>
            </w:r>
            <w:r>
              <w:rPr>
                <w:rFonts w:hint="eastAsia"/>
                <w:sz w:val="18"/>
                <w:szCs w:val="18"/>
              </w:rPr>
              <w:t>分。</w:t>
            </w:r>
          </w:p>
        </w:tc>
        <w:tc>
          <w:tcPr>
            <w:tcW w:w="708" w:type="dxa"/>
            <w:vAlign w:val="center"/>
          </w:tcPr>
          <w:p>
            <w:pPr>
              <w:jc w:val="center"/>
              <w:rPr>
                <w:b/>
                <w:bCs/>
              </w:rPr>
            </w:pPr>
            <w:r>
              <w:rPr>
                <w:rFonts w:hint="eastAsia"/>
                <w:b/>
                <w:bCs/>
              </w:rPr>
              <w:t>3</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7.</w:t>
            </w:r>
            <w:r>
              <w:rPr>
                <w:sz w:val="18"/>
                <w:szCs w:val="18"/>
              </w:rPr>
              <w:t>鼓励保险机构开发婴幼儿照护服务相关责任险及托育机构运营相关保险业务。</w:t>
            </w:r>
            <w:r>
              <w:rPr>
                <w:rFonts w:hint="eastAsia"/>
                <w:sz w:val="18"/>
                <w:szCs w:val="18"/>
              </w:rPr>
              <w:t>未开展相关保险业务的不得分。</w:t>
            </w:r>
          </w:p>
        </w:tc>
        <w:tc>
          <w:tcPr>
            <w:tcW w:w="708" w:type="dxa"/>
            <w:vAlign w:val="center"/>
          </w:tcPr>
          <w:p>
            <w:pPr>
              <w:jc w:val="center"/>
              <w:rPr>
                <w:b/>
                <w:bCs/>
              </w:rPr>
            </w:pPr>
            <w:r>
              <w:rPr>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8．</w:t>
            </w:r>
            <w:r>
              <w:rPr>
                <w:sz w:val="18"/>
                <w:szCs w:val="18"/>
              </w:rPr>
              <w:t>全面落实产假政策，在与婴幼儿照护服务相配套的育儿假、产休假实施上有积极探索。</w:t>
            </w:r>
            <w:r>
              <w:rPr>
                <w:rFonts w:hint="eastAsia"/>
                <w:sz w:val="18"/>
                <w:szCs w:val="18"/>
              </w:rPr>
              <w:t>落实产假政策的得</w:t>
            </w:r>
            <w:r>
              <w:rPr>
                <w:sz w:val="18"/>
                <w:szCs w:val="18"/>
              </w:rPr>
              <w:t>3</w:t>
            </w:r>
            <w:r>
              <w:rPr>
                <w:rFonts w:hint="eastAsia"/>
                <w:sz w:val="18"/>
                <w:szCs w:val="18"/>
              </w:rPr>
              <w:t>分，出台符合本地实际的</w:t>
            </w:r>
            <w:r>
              <w:rPr>
                <w:sz w:val="18"/>
                <w:szCs w:val="18"/>
              </w:rPr>
              <w:t>育儿假、产休假</w:t>
            </w:r>
            <w:r>
              <w:rPr>
                <w:rFonts w:hint="eastAsia"/>
                <w:sz w:val="18"/>
                <w:szCs w:val="18"/>
              </w:rPr>
              <w:t>政策的得1分。</w:t>
            </w:r>
          </w:p>
        </w:tc>
        <w:tc>
          <w:tcPr>
            <w:tcW w:w="708" w:type="dxa"/>
            <w:vAlign w:val="center"/>
          </w:tcPr>
          <w:p>
            <w:pPr>
              <w:jc w:val="center"/>
              <w:rPr>
                <w:b/>
                <w:bCs/>
              </w:rPr>
            </w:pPr>
            <w:r>
              <w:rPr>
                <w:b/>
                <w:bCs/>
              </w:rPr>
              <w:t>4</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jc w:val="center"/>
              <w:rPr>
                <w:b/>
                <w:bCs/>
              </w:rPr>
            </w:pPr>
            <w:r>
              <w:rPr>
                <w:rFonts w:hint="eastAsia"/>
                <w:b/>
                <w:bCs/>
              </w:rPr>
              <w:t>（三）服务</w:t>
            </w:r>
          </w:p>
          <w:p>
            <w:pPr>
              <w:jc w:val="center"/>
              <w:rPr>
                <w:b/>
                <w:bCs/>
              </w:rPr>
            </w:pPr>
            <w:r>
              <w:rPr>
                <w:rFonts w:hint="eastAsia"/>
                <w:b/>
                <w:bCs/>
              </w:rPr>
              <w:t>供给</w:t>
            </w:r>
          </w:p>
          <w:p>
            <w:pPr>
              <w:jc w:val="center"/>
              <w:rPr>
                <w:b/>
                <w:bCs/>
              </w:rPr>
            </w:pPr>
            <w:r>
              <w:rPr>
                <w:rFonts w:hint="eastAsia"/>
                <w:b/>
                <w:bCs/>
              </w:rPr>
              <w:t>16分</w:t>
            </w:r>
          </w:p>
        </w:tc>
        <w:tc>
          <w:tcPr>
            <w:tcW w:w="5807" w:type="dxa"/>
            <w:vAlign w:val="top"/>
          </w:tcPr>
          <w:p>
            <w:pPr>
              <w:jc w:val="left"/>
              <w:rPr>
                <w:sz w:val="18"/>
                <w:szCs w:val="18"/>
              </w:rPr>
            </w:pPr>
            <w:r>
              <w:rPr>
                <w:rFonts w:hint="eastAsia"/>
                <w:sz w:val="18"/>
                <w:szCs w:val="18"/>
              </w:rPr>
              <w:t>1.</w:t>
            </w:r>
            <w:r>
              <w:rPr>
                <w:sz w:val="18"/>
                <w:szCs w:val="18"/>
              </w:rPr>
              <w:t>为婴幼儿家庭提供经常性、普惠</w:t>
            </w:r>
            <w:r>
              <w:rPr>
                <w:rFonts w:hint="eastAsia"/>
                <w:sz w:val="18"/>
                <w:szCs w:val="18"/>
              </w:rPr>
              <w:t>可及</w:t>
            </w:r>
            <w:r>
              <w:rPr>
                <w:sz w:val="18"/>
                <w:szCs w:val="18"/>
              </w:rPr>
              <w:t>的育儿指导。</w:t>
            </w:r>
            <w:r>
              <w:rPr>
                <w:rFonts w:hint="eastAsia"/>
                <w:sz w:val="18"/>
                <w:szCs w:val="18"/>
              </w:rPr>
              <w:t>未能提供</w:t>
            </w:r>
            <w:r>
              <w:rPr>
                <w:sz w:val="18"/>
                <w:szCs w:val="18"/>
              </w:rPr>
              <w:t>经常性、普惠</w:t>
            </w:r>
            <w:r>
              <w:rPr>
                <w:rFonts w:hint="eastAsia"/>
                <w:sz w:val="18"/>
                <w:szCs w:val="18"/>
              </w:rPr>
              <w:t>可及</w:t>
            </w:r>
            <w:r>
              <w:rPr>
                <w:sz w:val="18"/>
                <w:szCs w:val="18"/>
              </w:rPr>
              <w:t>的育儿指导</w:t>
            </w:r>
            <w:r>
              <w:rPr>
                <w:rFonts w:hint="eastAsia"/>
                <w:sz w:val="18"/>
                <w:szCs w:val="18"/>
              </w:rPr>
              <w:t>不得分。</w:t>
            </w:r>
          </w:p>
        </w:tc>
        <w:tc>
          <w:tcPr>
            <w:tcW w:w="708" w:type="dxa"/>
            <w:vAlign w:val="center"/>
          </w:tcPr>
          <w:p>
            <w:pPr>
              <w:jc w:val="center"/>
              <w:rPr>
                <w:b/>
                <w:bCs/>
              </w:rPr>
            </w:pPr>
            <w:r>
              <w:rPr>
                <w:rFonts w:hint="eastAsia"/>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2</w:t>
            </w:r>
            <w:r>
              <w:rPr>
                <w:sz w:val="18"/>
                <w:szCs w:val="18"/>
              </w:rPr>
              <w:t>.将婴幼儿照护纳入城乡社区服务范围，加强社区婴幼儿照护服务设施与社区卫生等设施的功能衔接。</w:t>
            </w:r>
            <w:r>
              <w:rPr>
                <w:rFonts w:hint="eastAsia"/>
                <w:sz w:val="18"/>
                <w:szCs w:val="18"/>
              </w:rPr>
              <w:t>未</w:t>
            </w:r>
            <w:r>
              <w:rPr>
                <w:sz w:val="18"/>
                <w:szCs w:val="18"/>
              </w:rPr>
              <w:t>纳入城乡社区服务范围</w:t>
            </w:r>
            <w:r>
              <w:rPr>
                <w:rFonts w:hint="eastAsia"/>
                <w:sz w:val="18"/>
                <w:szCs w:val="18"/>
              </w:rPr>
              <w:t xml:space="preserve">的不得分。 </w:t>
            </w:r>
          </w:p>
        </w:tc>
        <w:tc>
          <w:tcPr>
            <w:tcW w:w="708" w:type="dxa"/>
            <w:vAlign w:val="center"/>
          </w:tcPr>
          <w:p>
            <w:pPr>
              <w:jc w:val="center"/>
              <w:rPr>
                <w:b/>
                <w:bCs/>
              </w:rPr>
            </w:pPr>
            <w:r>
              <w:rPr>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3</w:t>
            </w:r>
            <w:r>
              <w:rPr>
                <w:sz w:val="18"/>
                <w:szCs w:val="18"/>
              </w:rPr>
              <w:t>.新建住宅小区与配套婴幼儿照护服务设施同步规划、建设、验收、交付，在城市居住社区建设补短板和城镇老旧小区改造中统筹推进婴幼儿照护服务设施建设</w:t>
            </w:r>
            <w:r>
              <w:rPr>
                <w:rFonts w:hint="eastAsia"/>
                <w:sz w:val="18"/>
                <w:szCs w:val="18"/>
              </w:rPr>
              <w:t>。</w:t>
            </w:r>
            <w:r>
              <w:rPr>
                <w:sz w:val="18"/>
                <w:szCs w:val="18"/>
              </w:rPr>
              <w:t>新建住宅小区</w:t>
            </w:r>
            <w:r>
              <w:rPr>
                <w:rFonts w:hint="eastAsia"/>
                <w:sz w:val="18"/>
                <w:szCs w:val="18"/>
              </w:rPr>
              <w:t>未同步</w:t>
            </w:r>
            <w:r>
              <w:rPr>
                <w:sz w:val="18"/>
                <w:szCs w:val="18"/>
              </w:rPr>
              <w:t>配套婴幼儿照护服务设施</w:t>
            </w:r>
            <w:r>
              <w:rPr>
                <w:rFonts w:hint="eastAsia"/>
                <w:sz w:val="18"/>
                <w:szCs w:val="18"/>
              </w:rPr>
              <w:t>的扣2分，</w:t>
            </w:r>
            <w:r>
              <w:rPr>
                <w:sz w:val="18"/>
                <w:szCs w:val="18"/>
              </w:rPr>
              <w:t>老旧小区改造中</w:t>
            </w:r>
            <w:r>
              <w:rPr>
                <w:rFonts w:hint="eastAsia"/>
                <w:sz w:val="18"/>
                <w:szCs w:val="18"/>
              </w:rPr>
              <w:t>未</w:t>
            </w:r>
            <w:r>
              <w:rPr>
                <w:sz w:val="18"/>
                <w:szCs w:val="18"/>
              </w:rPr>
              <w:t>统筹推进婴幼儿照护服务设施建设</w:t>
            </w:r>
            <w:r>
              <w:rPr>
                <w:rFonts w:hint="eastAsia"/>
                <w:sz w:val="18"/>
                <w:szCs w:val="18"/>
              </w:rPr>
              <w:t>的扣2分。</w:t>
            </w:r>
          </w:p>
        </w:tc>
        <w:tc>
          <w:tcPr>
            <w:tcW w:w="708" w:type="dxa"/>
            <w:vAlign w:val="center"/>
          </w:tcPr>
          <w:p>
            <w:pPr>
              <w:jc w:val="center"/>
              <w:rPr>
                <w:b/>
                <w:bCs/>
              </w:rPr>
            </w:pPr>
            <w:r>
              <w:rPr>
                <w:b/>
                <w:bCs/>
              </w:rPr>
              <w:t>4</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4</w:t>
            </w:r>
            <w:r>
              <w:rPr>
                <w:sz w:val="18"/>
                <w:szCs w:val="18"/>
              </w:rPr>
              <w:t>.建成一批承担指导功能的普惠性托育机构，支持产业园区、用人单位等在工作场所为职工提供福利性托育服务</w:t>
            </w:r>
            <w:r>
              <w:rPr>
                <w:rFonts w:hint="eastAsia"/>
                <w:sz w:val="18"/>
                <w:szCs w:val="18"/>
              </w:rPr>
              <w:t>。有已建成或已立项</w:t>
            </w:r>
            <w:r>
              <w:rPr>
                <w:sz w:val="18"/>
                <w:szCs w:val="18"/>
              </w:rPr>
              <w:t>承担指导功能的普惠性托育机构</w:t>
            </w:r>
            <w:r>
              <w:rPr>
                <w:rFonts w:hint="eastAsia"/>
                <w:sz w:val="18"/>
                <w:szCs w:val="18"/>
              </w:rPr>
              <w:t>的得</w:t>
            </w:r>
            <w:r>
              <w:rPr>
                <w:sz w:val="18"/>
                <w:szCs w:val="18"/>
              </w:rPr>
              <w:t>3</w:t>
            </w:r>
            <w:r>
              <w:rPr>
                <w:rFonts w:hint="eastAsia"/>
                <w:sz w:val="18"/>
                <w:szCs w:val="18"/>
              </w:rPr>
              <w:t>分</w:t>
            </w:r>
            <w:r>
              <w:rPr>
                <w:sz w:val="18"/>
                <w:szCs w:val="18"/>
              </w:rPr>
              <w:t>，</w:t>
            </w:r>
            <w:r>
              <w:rPr>
                <w:rFonts w:hint="eastAsia"/>
                <w:sz w:val="18"/>
                <w:szCs w:val="18"/>
              </w:rPr>
              <w:t>有需求的</w:t>
            </w:r>
            <w:r>
              <w:rPr>
                <w:sz w:val="18"/>
                <w:szCs w:val="18"/>
              </w:rPr>
              <w:t>产业园区、用人单位</w:t>
            </w:r>
            <w:r>
              <w:rPr>
                <w:rFonts w:hint="eastAsia"/>
                <w:sz w:val="18"/>
                <w:szCs w:val="18"/>
              </w:rPr>
              <w:t>能</w:t>
            </w:r>
            <w:r>
              <w:rPr>
                <w:sz w:val="18"/>
                <w:szCs w:val="18"/>
              </w:rPr>
              <w:t>提供福利性托育服务</w:t>
            </w:r>
            <w:r>
              <w:rPr>
                <w:rFonts w:hint="eastAsia"/>
                <w:sz w:val="18"/>
                <w:szCs w:val="18"/>
              </w:rPr>
              <w:t>的得</w:t>
            </w:r>
            <w:r>
              <w:rPr>
                <w:sz w:val="18"/>
                <w:szCs w:val="18"/>
              </w:rPr>
              <w:t>1</w:t>
            </w:r>
            <w:r>
              <w:rPr>
                <w:rFonts w:hint="eastAsia"/>
                <w:sz w:val="18"/>
                <w:szCs w:val="18"/>
              </w:rPr>
              <w:t>分。</w:t>
            </w:r>
          </w:p>
        </w:tc>
        <w:tc>
          <w:tcPr>
            <w:tcW w:w="708" w:type="dxa"/>
            <w:vAlign w:val="center"/>
          </w:tcPr>
          <w:p>
            <w:pPr>
              <w:jc w:val="center"/>
              <w:rPr>
                <w:b/>
                <w:bCs/>
              </w:rPr>
            </w:pPr>
            <w:r>
              <w:rPr>
                <w:b/>
                <w:bCs/>
              </w:rPr>
              <w:t>4</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5.千人口托位数，婴幼儿入托率高于全省平均水平。千人口托位数低的扣2分，婴幼儿入托率低的扣2分。</w:t>
            </w:r>
          </w:p>
        </w:tc>
        <w:tc>
          <w:tcPr>
            <w:tcW w:w="708" w:type="dxa"/>
            <w:vAlign w:val="center"/>
          </w:tcPr>
          <w:p>
            <w:pPr>
              <w:jc w:val="center"/>
              <w:rPr>
                <w:b/>
                <w:bCs/>
              </w:rPr>
            </w:pPr>
            <w:r>
              <w:rPr>
                <w:b/>
                <w:bCs/>
              </w:rPr>
              <w:t>4</w:t>
            </w:r>
          </w:p>
        </w:tc>
        <w:tc>
          <w:tcPr>
            <w:tcW w:w="851" w:type="dxa"/>
            <w:vAlign w:val="center"/>
          </w:tcPr>
          <w:p>
            <w:pPr>
              <w:jc w:val="center"/>
            </w:pPr>
            <w:r>
              <w:rPr>
                <w:rFonts w:hint="eastAsia" w:ascii="方正舒体" w:eastAsia="方正舒体"/>
              </w:rPr>
              <w:t>─</w:t>
            </w:r>
          </w:p>
        </w:tc>
        <w:tc>
          <w:tcPr>
            <w:tcW w:w="1281" w:type="dxa"/>
            <w:vAlign w:val="top"/>
          </w:tcPr>
          <w:p>
            <w:pPr>
              <w:jc w:val="left"/>
              <w:rPr>
                <w:sz w:val="15"/>
                <w:szCs w:val="15"/>
              </w:rPr>
            </w:pPr>
            <w:r>
              <w:rPr>
                <w:rFonts w:hint="eastAsia"/>
                <w:sz w:val="15"/>
                <w:szCs w:val="15"/>
              </w:rPr>
              <w:t>千人托位数：</w:t>
            </w:r>
          </w:p>
          <w:p>
            <w:pPr>
              <w:jc w:val="left"/>
              <w:rPr>
                <w:sz w:val="18"/>
                <w:szCs w:val="18"/>
              </w:rPr>
            </w:pPr>
            <w:r>
              <w:rPr>
                <w:rFonts w:hint="eastAsia"/>
                <w:sz w:val="15"/>
                <w:szCs w:val="15"/>
              </w:rPr>
              <w:t>婴幼儿入托率：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jc w:val="center"/>
              <w:rPr>
                <w:b/>
                <w:bCs/>
                <w:color w:val="000000"/>
              </w:rPr>
            </w:pPr>
            <w:r>
              <w:rPr>
                <w:rFonts w:hint="eastAsia"/>
                <w:b/>
                <w:bCs/>
                <w:color w:val="000000"/>
              </w:rPr>
              <w:t>（四）创新</w:t>
            </w:r>
          </w:p>
          <w:p>
            <w:pPr>
              <w:jc w:val="center"/>
              <w:rPr>
                <w:b/>
                <w:bCs/>
                <w:color w:val="000000"/>
              </w:rPr>
            </w:pPr>
            <w:r>
              <w:rPr>
                <w:rFonts w:hint="eastAsia"/>
                <w:b/>
                <w:bCs/>
                <w:color w:val="000000"/>
              </w:rPr>
              <w:t>融合</w:t>
            </w:r>
          </w:p>
          <w:p>
            <w:pPr>
              <w:jc w:val="center"/>
              <w:rPr>
                <w:b/>
                <w:bCs/>
                <w:color w:val="FF0000"/>
              </w:rPr>
            </w:pPr>
            <w:r>
              <w:rPr>
                <w:b/>
                <w:bCs/>
                <w:color w:val="000000"/>
              </w:rPr>
              <w:t>10</w:t>
            </w:r>
            <w:r>
              <w:rPr>
                <w:rFonts w:hint="eastAsia"/>
                <w:b/>
                <w:bCs/>
                <w:color w:val="000000"/>
              </w:rPr>
              <w:t>分</w:t>
            </w:r>
          </w:p>
        </w:tc>
        <w:tc>
          <w:tcPr>
            <w:tcW w:w="5807" w:type="dxa"/>
            <w:vAlign w:val="top"/>
          </w:tcPr>
          <w:p>
            <w:pPr>
              <w:jc w:val="left"/>
              <w:rPr>
                <w:sz w:val="18"/>
                <w:szCs w:val="18"/>
              </w:rPr>
            </w:pPr>
            <w:r>
              <w:rPr>
                <w:rFonts w:hint="eastAsia"/>
                <w:sz w:val="18"/>
                <w:szCs w:val="18"/>
              </w:rPr>
              <w:t>1.</w:t>
            </w:r>
            <w:r>
              <w:rPr>
                <w:sz w:val="18"/>
                <w:szCs w:val="18"/>
              </w:rPr>
              <w:t>加强对托育机构卫生保健工作的业务指导和人员培训。</w:t>
            </w:r>
            <w:r>
              <w:rPr>
                <w:rFonts w:hint="eastAsia"/>
                <w:sz w:val="18"/>
                <w:szCs w:val="18"/>
              </w:rPr>
              <w:t>未能得到</w:t>
            </w:r>
            <w:r>
              <w:rPr>
                <w:sz w:val="18"/>
                <w:szCs w:val="18"/>
              </w:rPr>
              <w:t>医疗</w:t>
            </w:r>
            <w:r>
              <w:rPr>
                <w:rFonts w:hint="eastAsia"/>
                <w:sz w:val="18"/>
                <w:szCs w:val="18"/>
              </w:rPr>
              <w:t>保健工作长期、稳定的业务指导和培训不得分。</w:t>
            </w:r>
          </w:p>
        </w:tc>
        <w:tc>
          <w:tcPr>
            <w:tcW w:w="708" w:type="dxa"/>
            <w:vAlign w:val="center"/>
          </w:tcPr>
          <w:p>
            <w:pPr>
              <w:jc w:val="center"/>
              <w:rPr>
                <w:b/>
                <w:bCs/>
                <w:color w:val="000000"/>
              </w:rPr>
            </w:pPr>
            <w:r>
              <w:rPr>
                <w:b/>
                <w:bCs/>
                <w:color w:val="000000"/>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color w:val="FF0000"/>
              </w:rPr>
            </w:pPr>
          </w:p>
        </w:tc>
        <w:tc>
          <w:tcPr>
            <w:tcW w:w="5807" w:type="dxa"/>
            <w:vAlign w:val="top"/>
          </w:tcPr>
          <w:p>
            <w:pPr>
              <w:jc w:val="left"/>
              <w:rPr>
                <w:sz w:val="18"/>
                <w:szCs w:val="18"/>
              </w:rPr>
            </w:pPr>
            <w:r>
              <w:rPr>
                <w:rFonts w:hint="eastAsia"/>
                <w:sz w:val="18"/>
                <w:szCs w:val="18"/>
              </w:rPr>
              <w:t>2.</w:t>
            </w:r>
            <w:r>
              <w:rPr>
                <w:sz w:val="18"/>
                <w:szCs w:val="18"/>
              </w:rPr>
              <w:t>推进“互联网+托育服务”。</w:t>
            </w:r>
            <w:r>
              <w:rPr>
                <w:rFonts w:hint="eastAsia"/>
                <w:sz w:val="18"/>
                <w:szCs w:val="18"/>
              </w:rPr>
              <w:t>研发应用</w:t>
            </w:r>
            <w:r>
              <w:rPr>
                <w:sz w:val="18"/>
                <w:szCs w:val="18"/>
              </w:rPr>
              <w:t>婴幼儿照护服务信息管理系统</w:t>
            </w:r>
            <w:r>
              <w:rPr>
                <w:rFonts w:hint="eastAsia"/>
                <w:sz w:val="18"/>
                <w:szCs w:val="18"/>
              </w:rPr>
              <w:t>的得</w:t>
            </w:r>
            <w:r>
              <w:rPr>
                <w:sz w:val="18"/>
                <w:szCs w:val="18"/>
              </w:rPr>
              <w:t>2</w:t>
            </w:r>
            <w:r>
              <w:rPr>
                <w:rFonts w:hint="eastAsia"/>
                <w:sz w:val="18"/>
                <w:szCs w:val="18"/>
              </w:rPr>
              <w:t>分，开发科学育儿公益课程、父母课堂等，提供互联网直播互动式家庭育儿服务得2分。</w:t>
            </w:r>
          </w:p>
        </w:tc>
        <w:tc>
          <w:tcPr>
            <w:tcW w:w="708" w:type="dxa"/>
            <w:vAlign w:val="center"/>
          </w:tcPr>
          <w:p>
            <w:pPr>
              <w:jc w:val="center"/>
              <w:rPr>
                <w:b/>
                <w:bCs/>
                <w:color w:val="000000"/>
              </w:rPr>
            </w:pPr>
            <w:r>
              <w:rPr>
                <w:b/>
                <w:bCs/>
                <w:color w:val="000000"/>
              </w:rPr>
              <w:t>4</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color w:val="FF0000"/>
              </w:rPr>
            </w:pPr>
          </w:p>
        </w:tc>
        <w:tc>
          <w:tcPr>
            <w:tcW w:w="5807" w:type="dxa"/>
            <w:vAlign w:val="top"/>
          </w:tcPr>
          <w:p>
            <w:pPr>
              <w:jc w:val="left"/>
              <w:rPr>
                <w:color w:val="FF0000"/>
                <w:sz w:val="18"/>
                <w:szCs w:val="18"/>
              </w:rPr>
            </w:pPr>
            <w:r>
              <w:rPr>
                <w:sz w:val="18"/>
                <w:szCs w:val="18"/>
              </w:rPr>
              <w:t>3</w:t>
            </w:r>
            <w:r>
              <w:rPr>
                <w:rFonts w:hint="eastAsia"/>
                <w:sz w:val="18"/>
                <w:szCs w:val="18"/>
              </w:rPr>
              <w:t>.</w:t>
            </w:r>
            <w:r>
              <w:rPr>
                <w:sz w:val="18"/>
                <w:szCs w:val="18"/>
              </w:rPr>
              <w:t>加强公共场所母婴设施建设与改造。母婴设施</w:t>
            </w:r>
            <w:r>
              <w:rPr>
                <w:rFonts w:hint="eastAsia"/>
                <w:sz w:val="18"/>
                <w:szCs w:val="18"/>
              </w:rPr>
              <w:t>配置未达到标准的扣1分，应配置率未达到1</w:t>
            </w:r>
            <w:r>
              <w:rPr>
                <w:sz w:val="18"/>
                <w:szCs w:val="18"/>
              </w:rPr>
              <w:t>00</w:t>
            </w:r>
            <w:r>
              <w:rPr>
                <w:rFonts w:hint="eastAsia"/>
                <w:sz w:val="18"/>
                <w:szCs w:val="18"/>
              </w:rPr>
              <w:t>%的扣</w:t>
            </w:r>
            <w:r>
              <w:rPr>
                <w:sz w:val="18"/>
                <w:szCs w:val="18"/>
              </w:rPr>
              <w:t>1</w:t>
            </w:r>
            <w:r>
              <w:rPr>
                <w:rFonts w:hint="eastAsia"/>
                <w:sz w:val="18"/>
                <w:szCs w:val="18"/>
              </w:rPr>
              <w:t>分。</w:t>
            </w:r>
          </w:p>
        </w:tc>
        <w:tc>
          <w:tcPr>
            <w:tcW w:w="708" w:type="dxa"/>
            <w:vAlign w:val="center"/>
          </w:tcPr>
          <w:p>
            <w:pPr>
              <w:jc w:val="center"/>
              <w:rPr>
                <w:b/>
                <w:bCs/>
                <w:color w:val="000000"/>
              </w:rPr>
            </w:pPr>
            <w:r>
              <w:rPr>
                <w:rFonts w:hint="eastAsia"/>
                <w:b/>
                <w:bCs/>
                <w:color w:val="000000"/>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color w:val="FF0000"/>
              </w:rPr>
            </w:pPr>
          </w:p>
        </w:tc>
        <w:tc>
          <w:tcPr>
            <w:tcW w:w="5807" w:type="dxa"/>
            <w:vAlign w:val="top"/>
          </w:tcPr>
          <w:p>
            <w:pPr>
              <w:jc w:val="left"/>
              <w:rPr>
                <w:sz w:val="18"/>
                <w:szCs w:val="18"/>
              </w:rPr>
            </w:pPr>
            <w:r>
              <w:rPr>
                <w:sz w:val="18"/>
                <w:szCs w:val="18"/>
              </w:rPr>
              <w:t>4</w:t>
            </w:r>
            <w:r>
              <w:rPr>
                <w:rFonts w:hint="eastAsia"/>
                <w:sz w:val="18"/>
                <w:szCs w:val="18"/>
              </w:rPr>
              <w:t>.</w:t>
            </w:r>
            <w:r>
              <w:rPr>
                <w:sz w:val="18"/>
                <w:szCs w:val="18"/>
              </w:rPr>
              <w:t>支持托育服务、乳粉奶业、动画设计与制作等行业发展</w:t>
            </w:r>
            <w:r>
              <w:rPr>
                <w:rFonts w:hint="eastAsia"/>
                <w:sz w:val="18"/>
                <w:szCs w:val="18"/>
              </w:rPr>
              <w:t>。有相关支持政策的得2分。</w:t>
            </w:r>
          </w:p>
        </w:tc>
        <w:tc>
          <w:tcPr>
            <w:tcW w:w="708" w:type="dxa"/>
            <w:vAlign w:val="center"/>
          </w:tcPr>
          <w:p>
            <w:pPr>
              <w:jc w:val="center"/>
              <w:rPr>
                <w:b/>
                <w:bCs/>
                <w:color w:val="000000"/>
              </w:rPr>
            </w:pPr>
            <w:r>
              <w:rPr>
                <w:b/>
                <w:bCs/>
                <w:color w:val="000000"/>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jc w:val="center"/>
              <w:rPr>
                <w:b/>
                <w:bCs/>
                <w:color w:val="000000"/>
              </w:rPr>
            </w:pPr>
            <w:r>
              <w:rPr>
                <w:rFonts w:hint="eastAsia"/>
                <w:b/>
                <w:bCs/>
                <w:color w:val="000000"/>
              </w:rPr>
              <w:t>（五）监管</w:t>
            </w:r>
          </w:p>
          <w:p>
            <w:pPr>
              <w:jc w:val="center"/>
              <w:rPr>
                <w:b/>
                <w:bCs/>
                <w:color w:val="000000"/>
              </w:rPr>
            </w:pPr>
            <w:r>
              <w:rPr>
                <w:rFonts w:hint="eastAsia"/>
                <w:b/>
                <w:bCs/>
                <w:color w:val="000000"/>
              </w:rPr>
              <w:t>服务</w:t>
            </w:r>
          </w:p>
          <w:p>
            <w:pPr>
              <w:jc w:val="center"/>
              <w:rPr>
                <w:b/>
                <w:bCs/>
                <w:color w:val="FF0000"/>
              </w:rPr>
            </w:pPr>
            <w:r>
              <w:rPr>
                <w:b/>
                <w:bCs/>
                <w:color w:val="000000"/>
              </w:rPr>
              <w:t>10</w:t>
            </w:r>
            <w:r>
              <w:rPr>
                <w:rFonts w:hint="eastAsia"/>
                <w:b/>
                <w:bCs/>
                <w:color w:val="000000"/>
              </w:rPr>
              <w:t>分</w:t>
            </w:r>
          </w:p>
        </w:tc>
        <w:tc>
          <w:tcPr>
            <w:tcW w:w="5807" w:type="dxa"/>
            <w:vAlign w:val="top"/>
          </w:tcPr>
          <w:p>
            <w:pPr>
              <w:jc w:val="left"/>
              <w:rPr>
                <w:color w:val="FF0000"/>
                <w:sz w:val="18"/>
                <w:szCs w:val="18"/>
              </w:rPr>
            </w:pPr>
            <w:r>
              <w:rPr>
                <w:rFonts w:hint="eastAsia"/>
                <w:sz w:val="18"/>
                <w:szCs w:val="18"/>
              </w:rPr>
              <w:t>1.</w:t>
            </w:r>
            <w:r>
              <w:rPr>
                <w:sz w:val="18"/>
                <w:szCs w:val="18"/>
              </w:rPr>
              <w:t>卫生健康行政部门牵头，相关部门按照各自职责，定期对托育机构开展监督检查。</w:t>
            </w:r>
          </w:p>
        </w:tc>
        <w:tc>
          <w:tcPr>
            <w:tcW w:w="708" w:type="dxa"/>
            <w:vAlign w:val="center"/>
          </w:tcPr>
          <w:p>
            <w:pPr>
              <w:jc w:val="center"/>
              <w:rPr>
                <w:b/>
                <w:bCs/>
                <w:color w:val="000000"/>
              </w:rPr>
            </w:pPr>
            <w:r>
              <w:rPr>
                <w:rFonts w:hint="eastAsia"/>
                <w:b/>
                <w:bCs/>
                <w:color w:val="000000"/>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2.</w:t>
            </w:r>
            <w:r>
              <w:rPr>
                <w:sz w:val="18"/>
                <w:szCs w:val="18"/>
              </w:rPr>
              <w:t>实现托育机构备案登记、信息公示</w:t>
            </w:r>
            <w:r>
              <w:rPr>
                <w:rFonts w:hint="eastAsia"/>
                <w:sz w:val="18"/>
                <w:szCs w:val="18"/>
              </w:rPr>
              <w:t>制度化</w:t>
            </w:r>
            <w:r>
              <w:rPr>
                <w:sz w:val="18"/>
                <w:szCs w:val="18"/>
              </w:rPr>
              <w:t>、质量评估制度化</w:t>
            </w:r>
            <w:r>
              <w:rPr>
                <w:rFonts w:hint="eastAsia"/>
                <w:sz w:val="18"/>
                <w:szCs w:val="18"/>
              </w:rPr>
              <w:t>，</w:t>
            </w:r>
            <w:r>
              <w:rPr>
                <w:sz w:val="18"/>
                <w:szCs w:val="18"/>
              </w:rPr>
              <w:t>明确托育机构安全管理主体责任</w:t>
            </w:r>
            <w:r>
              <w:rPr>
                <w:rFonts w:hint="eastAsia"/>
                <w:sz w:val="18"/>
                <w:szCs w:val="18"/>
              </w:rPr>
              <w:t>。制度不完备的扣1分，托育机构备案率未达到1</w:t>
            </w:r>
            <w:r>
              <w:rPr>
                <w:sz w:val="18"/>
                <w:szCs w:val="18"/>
              </w:rPr>
              <w:t>00</w:t>
            </w:r>
            <w:r>
              <w:rPr>
                <w:rFonts w:hint="eastAsia"/>
                <w:sz w:val="18"/>
                <w:szCs w:val="18"/>
              </w:rPr>
              <w:t>%的扣1分。</w:t>
            </w:r>
          </w:p>
        </w:tc>
        <w:tc>
          <w:tcPr>
            <w:tcW w:w="708" w:type="dxa"/>
            <w:vAlign w:val="center"/>
          </w:tcPr>
          <w:p>
            <w:pPr>
              <w:jc w:val="center"/>
              <w:rPr>
                <w:b/>
                <w:bCs/>
              </w:rPr>
            </w:pPr>
            <w:r>
              <w:rPr>
                <w:rFonts w:hint="eastAsia"/>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3</w:t>
            </w:r>
            <w:r>
              <w:rPr>
                <w:sz w:val="18"/>
                <w:szCs w:val="18"/>
              </w:rPr>
              <w:t>.</w:t>
            </w:r>
            <w:r>
              <w:rPr>
                <w:rFonts w:hint="eastAsia"/>
                <w:sz w:val="18"/>
                <w:szCs w:val="18"/>
              </w:rPr>
              <w:t>发挥群团组织和行业组织的作用，加强宣传教育和社会监督，强化行业自律。有负面舆情的不得分。</w:t>
            </w:r>
          </w:p>
        </w:tc>
        <w:tc>
          <w:tcPr>
            <w:tcW w:w="708" w:type="dxa"/>
            <w:vAlign w:val="center"/>
          </w:tcPr>
          <w:p>
            <w:pPr>
              <w:jc w:val="center"/>
              <w:rPr>
                <w:b/>
                <w:bCs/>
              </w:rPr>
            </w:pPr>
            <w:r>
              <w:rPr>
                <w:rFonts w:hint="eastAsia"/>
                <w:b/>
                <w:bCs/>
              </w:rPr>
              <w:t>2</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4.</w:t>
            </w:r>
            <w:r>
              <w:rPr>
                <w:sz w:val="18"/>
                <w:szCs w:val="18"/>
              </w:rPr>
              <w:t>依法实施守信联合激励和失信联合惩戒。</w:t>
            </w:r>
            <w:r>
              <w:rPr>
                <w:rFonts w:hint="eastAsia"/>
                <w:sz w:val="18"/>
                <w:szCs w:val="18"/>
              </w:rPr>
              <w:t>未依法实施守信</w:t>
            </w:r>
            <w:r>
              <w:rPr>
                <w:sz w:val="18"/>
                <w:szCs w:val="18"/>
              </w:rPr>
              <w:t>联合激励和失信联合惩戒</w:t>
            </w:r>
            <w:r>
              <w:rPr>
                <w:rFonts w:hint="eastAsia"/>
                <w:sz w:val="18"/>
                <w:szCs w:val="18"/>
              </w:rPr>
              <w:t>的不得分。</w:t>
            </w:r>
          </w:p>
        </w:tc>
        <w:tc>
          <w:tcPr>
            <w:tcW w:w="708" w:type="dxa"/>
            <w:vAlign w:val="center"/>
          </w:tcPr>
          <w:p>
            <w:pPr>
              <w:jc w:val="center"/>
              <w:rPr>
                <w:b/>
                <w:bCs/>
              </w:rPr>
            </w:pPr>
            <w:r>
              <w:rPr>
                <w:rFonts w:hint="eastAsia"/>
                <w:b/>
                <w:bCs/>
              </w:rPr>
              <w:t>2</w:t>
            </w:r>
          </w:p>
        </w:tc>
        <w:tc>
          <w:tcPr>
            <w:tcW w:w="851" w:type="dxa"/>
            <w:vAlign w:val="top"/>
          </w:tcPr>
          <w:p>
            <w:pPr>
              <w:jc w:val="center"/>
            </w:pPr>
          </w:p>
        </w:tc>
        <w:tc>
          <w:tcPr>
            <w:tcW w:w="1281"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top"/>
          </w:tcPr>
          <w:p>
            <w:pPr>
              <w:jc w:val="center"/>
              <w:rPr>
                <w:b/>
                <w:bCs/>
              </w:rPr>
            </w:pPr>
          </w:p>
        </w:tc>
        <w:tc>
          <w:tcPr>
            <w:tcW w:w="5807" w:type="dxa"/>
            <w:vAlign w:val="top"/>
          </w:tcPr>
          <w:p>
            <w:pPr>
              <w:jc w:val="left"/>
              <w:rPr>
                <w:sz w:val="18"/>
                <w:szCs w:val="18"/>
              </w:rPr>
            </w:pPr>
            <w:r>
              <w:rPr>
                <w:rFonts w:hint="eastAsia"/>
                <w:sz w:val="18"/>
                <w:szCs w:val="18"/>
              </w:rPr>
              <w:t>5.托育机构服务质量和声誉口碑好，婴幼儿家庭满意程度高，无安全责任事故。有安全事故的不得分，满意度低于9</w:t>
            </w:r>
            <w:r>
              <w:rPr>
                <w:sz w:val="18"/>
                <w:szCs w:val="18"/>
              </w:rPr>
              <w:t>0</w:t>
            </w:r>
            <w:r>
              <w:rPr>
                <w:rFonts w:hint="eastAsia"/>
                <w:sz w:val="18"/>
                <w:szCs w:val="18"/>
              </w:rPr>
              <w:t>%的扣1分。</w:t>
            </w:r>
          </w:p>
        </w:tc>
        <w:tc>
          <w:tcPr>
            <w:tcW w:w="708" w:type="dxa"/>
            <w:vAlign w:val="center"/>
          </w:tcPr>
          <w:p>
            <w:pPr>
              <w:jc w:val="center"/>
              <w:rPr>
                <w:b/>
                <w:bCs/>
              </w:rPr>
            </w:pPr>
            <w:r>
              <w:rPr>
                <w:rFonts w:hint="eastAsia"/>
                <w:b/>
                <w:bCs/>
              </w:rPr>
              <w:t>2</w:t>
            </w:r>
          </w:p>
        </w:tc>
        <w:tc>
          <w:tcPr>
            <w:tcW w:w="851" w:type="dxa"/>
            <w:vAlign w:val="top"/>
          </w:tcPr>
          <w:p>
            <w:pPr>
              <w:jc w:val="center"/>
            </w:pPr>
          </w:p>
        </w:tc>
        <w:tc>
          <w:tcPr>
            <w:tcW w:w="1281" w:type="dxa"/>
            <w:vAlign w:val="top"/>
          </w:tcPr>
          <w:p>
            <w:pPr>
              <w:jc w:val="left"/>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jc w:val="center"/>
              <w:rPr>
                <w:b/>
                <w:bCs/>
              </w:rPr>
            </w:pPr>
            <w:r>
              <w:rPr>
                <w:rFonts w:hint="eastAsia"/>
                <w:b/>
                <w:bCs/>
              </w:rPr>
              <w:t>（六）服务</w:t>
            </w:r>
          </w:p>
          <w:p>
            <w:pPr>
              <w:jc w:val="center"/>
              <w:rPr>
                <w:b/>
                <w:bCs/>
              </w:rPr>
            </w:pPr>
            <w:r>
              <w:rPr>
                <w:rFonts w:hint="eastAsia"/>
                <w:b/>
                <w:bCs/>
              </w:rPr>
              <w:t>质量</w:t>
            </w:r>
          </w:p>
          <w:p>
            <w:pPr>
              <w:jc w:val="center"/>
              <w:rPr>
                <w:b/>
                <w:bCs/>
              </w:rPr>
            </w:pPr>
            <w:r>
              <w:rPr>
                <w:b/>
                <w:bCs/>
              </w:rPr>
              <w:t>15</w:t>
            </w:r>
            <w:r>
              <w:rPr>
                <w:rFonts w:hint="eastAsia"/>
                <w:b/>
                <w:bCs/>
              </w:rPr>
              <w:t>分</w:t>
            </w:r>
          </w:p>
        </w:tc>
        <w:tc>
          <w:tcPr>
            <w:tcW w:w="5807" w:type="dxa"/>
            <w:vAlign w:val="top"/>
          </w:tcPr>
          <w:p>
            <w:pPr>
              <w:jc w:val="left"/>
              <w:rPr>
                <w:sz w:val="18"/>
                <w:szCs w:val="18"/>
              </w:rPr>
            </w:pPr>
            <w:r>
              <w:rPr>
                <w:rFonts w:hint="eastAsia"/>
                <w:sz w:val="18"/>
                <w:szCs w:val="18"/>
              </w:rPr>
              <w:t>1.辖区内托育机构选址安全适宜。存在临近污染源、加油（气）站、输油输气管道、高压供电走廊穿越婴幼儿照护机构等现象的不得分。</w:t>
            </w:r>
          </w:p>
        </w:tc>
        <w:tc>
          <w:tcPr>
            <w:tcW w:w="708" w:type="dxa"/>
            <w:vAlign w:val="center"/>
          </w:tcPr>
          <w:p>
            <w:pPr>
              <w:jc w:val="center"/>
              <w:rPr>
                <w:b/>
                <w:bCs/>
              </w:rPr>
            </w:pPr>
            <w:r>
              <w:rPr>
                <w:b/>
                <w:bCs/>
              </w:rPr>
              <w:t>2.5</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sz w:val="18"/>
                <w:szCs w:val="18"/>
              </w:rPr>
              <w:t>2.</w:t>
            </w:r>
            <w:r>
              <w:rPr>
                <w:rFonts w:hint="eastAsia"/>
                <w:sz w:val="18"/>
                <w:szCs w:val="18"/>
              </w:rPr>
              <w:t>辖区内托育机构设计符合规范。有不符合</w:t>
            </w:r>
            <w:r>
              <w:rPr>
                <w:sz w:val="18"/>
                <w:szCs w:val="18"/>
              </w:rPr>
              <w:t>《托儿所、婴幼儿园建筑设计规范》（JGJ 39）</w:t>
            </w:r>
            <w:r>
              <w:rPr>
                <w:rFonts w:hint="eastAsia"/>
                <w:sz w:val="18"/>
                <w:szCs w:val="18"/>
              </w:rPr>
              <w:t>和国家相关抗震、消防标准的不得分。</w:t>
            </w:r>
          </w:p>
        </w:tc>
        <w:tc>
          <w:tcPr>
            <w:tcW w:w="708" w:type="dxa"/>
            <w:vAlign w:val="center"/>
          </w:tcPr>
          <w:p>
            <w:pPr>
              <w:jc w:val="center"/>
              <w:rPr>
                <w:b/>
                <w:bCs/>
              </w:rPr>
            </w:pPr>
            <w:r>
              <w:rPr>
                <w:b/>
                <w:bCs/>
              </w:rPr>
              <w:t>2.5</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sz w:val="18"/>
                <w:szCs w:val="18"/>
              </w:rPr>
              <w:t>3</w:t>
            </w:r>
            <w:r>
              <w:rPr>
                <w:rFonts w:hint="eastAsia"/>
                <w:sz w:val="18"/>
                <w:szCs w:val="18"/>
              </w:rPr>
              <w:t>.辖区内托育机构应严格执行《托育机构设置标准（试行）（国卫人口发〔2019〕58号 ）。按照一所托育机构有1条未执行到位的扣0</w:t>
            </w:r>
            <w:r>
              <w:rPr>
                <w:sz w:val="18"/>
                <w:szCs w:val="18"/>
              </w:rPr>
              <w:t>.1</w:t>
            </w:r>
            <w:r>
              <w:rPr>
                <w:rFonts w:hint="eastAsia"/>
                <w:sz w:val="18"/>
                <w:szCs w:val="18"/>
              </w:rPr>
              <w:t>分，计算辖区所有托育机构平均分数。</w:t>
            </w:r>
          </w:p>
        </w:tc>
        <w:tc>
          <w:tcPr>
            <w:tcW w:w="708" w:type="dxa"/>
            <w:vAlign w:val="center"/>
          </w:tcPr>
          <w:p>
            <w:pPr>
              <w:jc w:val="center"/>
              <w:rPr>
                <w:b/>
                <w:bCs/>
              </w:rPr>
            </w:pPr>
            <w:r>
              <w:rPr>
                <w:rFonts w:hint="eastAsia"/>
                <w:b/>
                <w:bCs/>
              </w:rPr>
              <w:t>5</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jc w:val="center"/>
              <w:rPr>
                <w:b/>
                <w:bCs/>
              </w:rPr>
            </w:pPr>
          </w:p>
        </w:tc>
        <w:tc>
          <w:tcPr>
            <w:tcW w:w="5807" w:type="dxa"/>
            <w:vAlign w:val="top"/>
          </w:tcPr>
          <w:p>
            <w:pPr>
              <w:jc w:val="left"/>
              <w:rPr>
                <w:sz w:val="18"/>
                <w:szCs w:val="18"/>
              </w:rPr>
            </w:pPr>
            <w:r>
              <w:rPr>
                <w:rFonts w:hint="eastAsia"/>
                <w:sz w:val="18"/>
                <w:szCs w:val="18"/>
              </w:rPr>
              <w:t>4.辖区内托育机构应严格执行《托育机构管理规范（试行）》（国卫人口发〔2019〕58号 ）。按照一所托育机构有1条未执行到位的扣0</w:t>
            </w:r>
            <w:r>
              <w:rPr>
                <w:sz w:val="18"/>
                <w:szCs w:val="18"/>
              </w:rPr>
              <w:t>.1</w:t>
            </w:r>
            <w:r>
              <w:rPr>
                <w:rFonts w:hint="eastAsia"/>
                <w:sz w:val="18"/>
                <w:szCs w:val="18"/>
              </w:rPr>
              <w:t>分，计算辖区所有托育机构平均分数。</w:t>
            </w:r>
          </w:p>
        </w:tc>
        <w:tc>
          <w:tcPr>
            <w:tcW w:w="708" w:type="dxa"/>
            <w:vAlign w:val="center"/>
          </w:tcPr>
          <w:p>
            <w:pPr>
              <w:jc w:val="center"/>
              <w:rPr>
                <w:b/>
                <w:bCs/>
              </w:rPr>
            </w:pPr>
            <w:r>
              <w:rPr>
                <w:rFonts w:hint="eastAsia"/>
                <w:b/>
                <w:bCs/>
              </w:rPr>
              <w:t>5</w:t>
            </w:r>
          </w:p>
        </w:tc>
        <w:tc>
          <w:tcPr>
            <w:tcW w:w="851" w:type="dxa"/>
            <w:vAlign w:val="top"/>
          </w:tcPr>
          <w:p>
            <w:pPr>
              <w:jc w:val="center"/>
            </w:pPr>
          </w:p>
        </w:tc>
        <w:tc>
          <w:tcPr>
            <w:tcW w:w="128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Align w:val="top"/>
          </w:tcPr>
          <w:p>
            <w:pPr>
              <w:jc w:val="center"/>
            </w:pPr>
          </w:p>
        </w:tc>
        <w:tc>
          <w:tcPr>
            <w:tcW w:w="5807" w:type="dxa"/>
            <w:vAlign w:val="top"/>
          </w:tcPr>
          <w:p>
            <w:pPr>
              <w:jc w:val="center"/>
              <w:rPr>
                <w:b/>
                <w:bCs/>
              </w:rPr>
            </w:pPr>
            <w:r>
              <w:rPr>
                <w:rFonts w:hint="eastAsia"/>
                <w:b/>
                <w:bCs/>
              </w:rPr>
              <w:t>总分</w:t>
            </w:r>
          </w:p>
        </w:tc>
        <w:tc>
          <w:tcPr>
            <w:tcW w:w="708" w:type="dxa"/>
            <w:vAlign w:val="top"/>
          </w:tcPr>
          <w:p>
            <w:pPr>
              <w:jc w:val="center"/>
              <w:rPr>
                <w:b/>
                <w:bCs/>
              </w:rPr>
            </w:pPr>
            <w:r>
              <w:rPr>
                <w:b/>
                <w:bCs/>
              </w:rPr>
              <w:t>100</w:t>
            </w:r>
          </w:p>
        </w:tc>
        <w:tc>
          <w:tcPr>
            <w:tcW w:w="851" w:type="dxa"/>
            <w:vAlign w:val="top"/>
          </w:tcPr>
          <w:p>
            <w:pPr>
              <w:jc w:val="center"/>
            </w:pPr>
          </w:p>
        </w:tc>
        <w:tc>
          <w:tcPr>
            <w:tcW w:w="1281" w:type="dxa"/>
            <w:vAlign w:val="top"/>
          </w:tcPr>
          <w:p>
            <w:pPr>
              <w:jc w:val="center"/>
            </w:pPr>
          </w:p>
        </w:tc>
      </w:tr>
    </w:tbl>
    <w:p>
      <w:pPr>
        <w:spacing w:line="40" w:lineRule="exact"/>
        <w:jc w:val="left"/>
        <w:rPr>
          <w:rFonts w:ascii="仿宋_GB2312" w:hAnsi="仿宋_GB2312" w:eastAsia="仿宋_GB2312"/>
          <w:sz w:val="32"/>
          <w:szCs w:val="20"/>
        </w:rPr>
      </w:pPr>
    </w:p>
    <w:p/>
    <w:sectPr>
      <w:footerReference r:id="rId3" w:type="default"/>
      <w:pgSz w:w="11906" w:h="16838"/>
      <w:pgMar w:top="2041"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path/>
              <v:fill on="f" focussize="0,0"/>
              <v:stroke on="f" weight="0.5pt"/>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C1772"/>
    <w:rsid w:val="624C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2021-09-27T05:41:00Z</dcterms:created>
  <dc:creator>Administrator</dc:creator>
  <cp:lastModifiedBy>Administrator</cp:lastModifiedBy>
  <dcterms:modified xsi:type="dcterms:W3CDTF">2021-09-27T05:41:38Z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