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jc w:val="center"/>
        <w:rPr>
          <w:rFonts w:ascii="方正小标宋简体" w:eastAsia="方正小标宋简体" w:cs="方正小标宋简体" w:hAnsi="方正小标宋简体" w:hint="eastAsia"/>
          <w:sz w:val="44"/>
          <w:szCs w:val="44"/>
        </w:rPr>
      </w:pPr>
      <w:r>
        <w:rPr>
          <w:rFonts w:ascii="方正小标宋简体" w:eastAsia="方正小标宋简体" w:cs="方正小标宋简体" w:hAnsi="方正小标宋简体" w:hint="eastAsia"/>
          <w:sz w:val="44"/>
          <w:szCs w:val="44"/>
        </w:rPr>
        <w:t>辽宁省卫生</w:t>
      </w:r>
      <w:r>
        <w:rPr>
          <w:rFonts w:ascii="方正小标宋简体" w:eastAsia="方正小标宋简体" w:cs="方正小标宋简体" w:hAnsi="方正小标宋简体" w:hint="eastAsia"/>
          <w:sz w:val="44"/>
          <w:szCs w:val="44"/>
          <w:lang w:eastAsia="zh-CN"/>
        </w:rPr>
        <w:t>健康</w:t>
      </w:r>
      <w:r>
        <w:rPr>
          <w:rFonts w:ascii="方正小标宋简体" w:eastAsia="方正小标宋简体" w:cs="方正小标宋简体" w:hAnsi="方正小标宋简体" w:hint="eastAsia"/>
          <w:sz w:val="44"/>
          <w:szCs w:val="44"/>
        </w:rPr>
        <w:t>委员会</w:t>
      </w:r>
    </w:p>
    <w:p>
      <w:pPr>
        <w:spacing w:line="560" w:lineRule="exact"/>
        <w:jc w:val="center"/>
        <w:rPr>
          <w:b/>
          <w:sz w:val="52"/>
          <w:szCs w:val="52"/>
          <w:u w:val="single"/>
        </w:rPr>
      </w:pPr>
      <w:r>
        <w:rPr>
          <w:rFonts w:ascii="方正小标宋简体" w:eastAsia="方正小标宋简体" w:cs="方正小标宋简体" w:hAnsi="方正小标宋简体" w:hint="eastAsia"/>
          <w:sz w:val="44"/>
          <w:szCs w:val="44"/>
        </w:rPr>
        <w:t>201</w:t>
      </w:r>
      <w:r>
        <w:rPr>
          <w:rFonts w:ascii="方正小标宋简体" w:eastAsia="方正小标宋简体" w:cs="方正小标宋简体" w:hAnsi="方正小标宋简体" w:hint="eastAsia"/>
          <w:sz w:val="44"/>
          <w:szCs w:val="44"/>
          <w:lang w:val="en-US" w:eastAsia="zh-CN"/>
        </w:rPr>
        <w:t>9</w:t>
      </w:r>
      <w:r>
        <w:rPr>
          <w:rFonts w:ascii="方正小标宋简体" w:eastAsia="方正小标宋简体" w:cs="方正小标宋简体" w:hAnsi="方正小标宋简体" w:hint="eastAsia"/>
          <w:sz w:val="44"/>
          <w:szCs w:val="44"/>
        </w:rPr>
        <w:t>年</w:t>
      </w:r>
      <w:r>
        <w:rPr>
          <w:rFonts w:ascii="方正小标宋简体" w:eastAsia="方正小标宋简体" w:cs="方正小标宋简体" w:hAnsi="方正小标宋简体" w:hint="eastAsia"/>
          <w:sz w:val="44"/>
          <w:szCs w:val="44"/>
          <w:lang w:eastAsia="zh-CN"/>
        </w:rPr>
        <w:t>度</w:t>
      </w:r>
      <w:r>
        <w:rPr>
          <w:rFonts w:ascii="方正小标宋简体" w:eastAsia="方正小标宋简体" w:cs="方正小标宋简体" w:hAnsi="方正小标宋简体" w:hint="eastAsia"/>
          <w:sz w:val="44"/>
          <w:szCs w:val="44"/>
        </w:rPr>
        <w:t>部门预算</w:t>
      </w: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rFonts w:hint="eastAsia"/>
          <w:b/>
          <w:sz w:val="44"/>
          <w:szCs w:val="44"/>
        </w:rPr>
        <w:sectPr>
          <w:footerReference w:type="default" r:id="rId2"/>
          <w:footerReference w:type="even" r:id="rId3"/>
          <w:pgSz w:w="11906" w:h="16838"/>
          <w:pgMar w:top="1440" w:right="1800" w:bottom="1440" w:left="1800" w:header="851" w:footer="992" w:gutter="0"/>
          <w:cols w:num="1" w:space="720"/>
          <w:titlePg/>
          <w:docGrid w:type="lines" w:linePitch="312" w:charSpace="0"/>
        </w:sectPr>
      </w:pPr>
    </w:p>
    <w:p>
      <w:pPr>
        <w:spacing w:line="560" w:lineRule="exact"/>
        <w:jc w:val="center"/>
        <w:rPr>
          <w:rFonts w:hint="eastAsia"/>
          <w:b/>
          <w:sz w:val="44"/>
          <w:szCs w:val="44"/>
        </w:rPr>
      </w:pPr>
    </w:p>
    <w:p>
      <w:pPr>
        <w:spacing w:line="560" w:lineRule="exact"/>
        <w:jc w:val="center"/>
        <w:rPr>
          <w:b/>
          <w:sz w:val="44"/>
          <w:szCs w:val="44"/>
        </w:rPr>
      </w:pPr>
      <w:r>
        <w:rPr>
          <w:rFonts w:hint="eastAsia"/>
          <w:b/>
          <w:sz w:val="44"/>
          <w:szCs w:val="44"/>
        </w:rPr>
        <w:t>目    录</w:t>
      </w:r>
    </w:p>
    <w:p>
      <w:pPr>
        <w:spacing w:line="560" w:lineRule="exact"/>
        <w:rPr>
          <w:b/>
          <w:sz w:val="44"/>
          <w:szCs w:val="44"/>
          <w:u w:val="single"/>
        </w:rPr>
      </w:pPr>
    </w:p>
    <w:p>
      <w:pPr>
        <w:spacing w:line="560" w:lineRule="exact"/>
        <w:rPr>
          <w:b/>
          <w:sz w:val="44"/>
          <w:szCs w:val="44"/>
          <w:u w:val="single"/>
        </w:rPr>
      </w:pPr>
      <w:r>
        <w:rPr>
          <w:rFonts w:ascii="黑体" w:eastAsia="黑体" w:hAnsi="黑体" w:hint="eastAsia"/>
          <w:sz w:val="32"/>
          <w:szCs w:val="32"/>
        </w:rPr>
        <w:t>第一部分　　部门预算公开管理文件</w:t>
      </w:r>
    </w:p>
    <w:p>
      <w:pPr>
        <w:spacing w:line="560" w:lineRule="exact"/>
        <w:rPr>
          <w:rFonts w:ascii="黑体" w:eastAsia="黑体" w:hAnsi="黑体"/>
          <w:sz w:val="32"/>
          <w:szCs w:val="32"/>
        </w:rPr>
      </w:pPr>
      <w:r>
        <w:rPr>
          <w:rFonts w:ascii="黑体" w:eastAsia="黑体" w:hAnsi="黑体" w:hint="eastAsia"/>
          <w:sz w:val="32"/>
          <w:szCs w:val="32"/>
        </w:rPr>
        <w:t>第</w:t>
      </w:r>
      <w:r>
        <w:rPr>
          <w:rFonts w:ascii="黑体" w:eastAsia="黑体" w:hAnsi="黑体" w:hint="eastAsia"/>
          <w:sz w:val="32"/>
          <w:szCs w:val="32"/>
          <w:lang w:eastAsia="zh-CN"/>
        </w:rPr>
        <w:t>二</w:t>
      </w:r>
      <w:r>
        <w:rPr>
          <w:rFonts w:ascii="黑体" w:eastAsia="黑体" w:hAnsi="黑体" w:hint="eastAsia"/>
          <w:sz w:val="32"/>
          <w:szCs w:val="32"/>
        </w:rPr>
        <w:t xml:space="preserve">部分    </w:t>
      </w:r>
      <w:r>
        <w:rPr>
          <w:rFonts w:ascii="黑体" w:eastAsia="黑体" w:cs="黑体" w:hAnsi="黑体" w:hint="eastAsia"/>
          <w:sz w:val="32"/>
          <w:szCs w:val="32"/>
        </w:rPr>
        <w:t>辽宁省卫生</w:t>
      </w:r>
      <w:r>
        <w:rPr>
          <w:rFonts w:ascii="黑体" w:eastAsia="黑体" w:cs="黑体" w:hAnsi="黑体" w:hint="eastAsia"/>
          <w:sz w:val="32"/>
          <w:szCs w:val="32"/>
          <w:lang w:eastAsia="zh-CN"/>
        </w:rPr>
        <w:t>健康</w:t>
      </w:r>
      <w:r>
        <w:rPr>
          <w:rFonts w:ascii="黑体" w:eastAsia="黑体" w:cs="黑体" w:hAnsi="黑体" w:hint="eastAsia"/>
          <w:sz w:val="32"/>
          <w:szCs w:val="32"/>
        </w:rPr>
        <w:t>委员会</w:t>
      </w:r>
      <w:r>
        <w:rPr>
          <w:rFonts w:ascii="黑体" w:eastAsia="黑体" w:hAnsi="黑体" w:hint="eastAsia"/>
          <w:sz w:val="32"/>
          <w:szCs w:val="32"/>
        </w:rPr>
        <w:t>概况</w:t>
      </w:r>
    </w:p>
    <w:p>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一、主要职责</w:t>
      </w:r>
    </w:p>
    <w:p>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二、部门预算单位构成</w:t>
      </w:r>
    </w:p>
    <w:p>
      <w:pPr>
        <w:spacing w:line="560" w:lineRule="exact"/>
        <w:ind w:left="1920" w:hangingChars="600" w:hanging="1920"/>
        <w:rPr>
          <w:rFonts w:ascii="黑体" w:eastAsia="黑体" w:hAnsi="黑体"/>
          <w:sz w:val="32"/>
          <w:szCs w:val="32"/>
        </w:rPr>
      </w:pPr>
      <w:r>
        <w:rPr>
          <w:rFonts w:ascii="黑体" w:eastAsia="黑体" w:hAnsi="黑体" w:hint="eastAsia"/>
          <w:sz w:val="32"/>
          <w:szCs w:val="32"/>
        </w:rPr>
        <w:t>第</w:t>
      </w:r>
      <w:r>
        <w:rPr>
          <w:rFonts w:ascii="黑体" w:eastAsia="黑体" w:hAnsi="黑体" w:hint="eastAsia"/>
          <w:sz w:val="32"/>
          <w:szCs w:val="32"/>
          <w:lang w:eastAsia="zh-CN"/>
        </w:rPr>
        <w:t>三</w:t>
      </w:r>
      <w:r>
        <w:rPr>
          <w:rFonts w:ascii="黑体" w:eastAsia="黑体" w:hAnsi="黑体" w:hint="eastAsia"/>
          <w:sz w:val="32"/>
          <w:szCs w:val="32"/>
        </w:rPr>
        <w:t xml:space="preserve">部分    </w:t>
      </w:r>
      <w:r>
        <w:rPr>
          <w:rFonts w:ascii="黑体" w:eastAsia="黑体" w:cs="黑体" w:hAnsi="黑体" w:hint="eastAsia"/>
          <w:sz w:val="32"/>
          <w:szCs w:val="32"/>
        </w:rPr>
        <w:t>辽宁省卫生</w:t>
      </w:r>
      <w:r>
        <w:rPr>
          <w:rFonts w:ascii="黑体" w:eastAsia="黑体" w:cs="黑体" w:hAnsi="黑体" w:hint="eastAsia"/>
          <w:sz w:val="32"/>
          <w:szCs w:val="32"/>
          <w:lang w:eastAsia="zh-CN"/>
        </w:rPr>
        <w:t>健康</w:t>
      </w:r>
      <w:r>
        <w:rPr>
          <w:rFonts w:ascii="黑体" w:eastAsia="黑体" w:cs="黑体" w:hAnsi="黑体" w:hint="eastAsia"/>
          <w:sz w:val="32"/>
          <w:szCs w:val="32"/>
        </w:rPr>
        <w:t>委员会</w:t>
      </w:r>
      <w:r>
        <w:rPr>
          <w:rFonts w:ascii="黑体" w:eastAsia="黑体" w:hAnsi="黑体" w:hint="eastAsia"/>
          <w:sz w:val="32"/>
          <w:szCs w:val="32"/>
        </w:rPr>
        <w:t>201</w:t>
      </w:r>
      <w:r>
        <w:rPr>
          <w:rFonts w:ascii="黑体" w:eastAsia="黑体" w:hAnsi="黑体" w:hint="eastAsia"/>
          <w:sz w:val="32"/>
          <w:szCs w:val="32"/>
          <w:lang w:val="en-US" w:eastAsia="zh-CN"/>
        </w:rPr>
        <w:t>9</w:t>
      </w:r>
      <w:r>
        <w:rPr>
          <w:rFonts w:ascii="黑体" w:eastAsia="黑体" w:hAnsi="黑体" w:hint="eastAsia"/>
          <w:sz w:val="32"/>
          <w:szCs w:val="32"/>
        </w:rPr>
        <w:t>年部门预算表</w:t>
      </w:r>
    </w:p>
    <w:p>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w:t>
      </w:r>
      <w:r>
        <w:rPr>
          <w:rFonts w:ascii="仿宋_GB2312" w:eastAsia="仿宋_GB2312" w:hAnsi="黑体" w:hint="eastAsia"/>
          <w:sz w:val="32"/>
          <w:szCs w:val="32"/>
          <w:lang w:val="en-US" w:eastAsia="zh-CN"/>
        </w:rPr>
        <w:t>9</w:t>
      </w:r>
      <w:r>
        <w:rPr>
          <w:rFonts w:ascii="仿宋_GB2312" w:eastAsia="仿宋_GB2312" w:hAnsi="黑体" w:hint="eastAsia"/>
          <w:sz w:val="32"/>
          <w:szCs w:val="32"/>
        </w:rPr>
        <w:t>年</w:t>
      </w:r>
      <w:r>
        <w:rPr>
          <w:rFonts w:ascii="仿宋_GB2312" w:eastAsia="仿宋_GB2312" w:hAnsi="黑体" w:hint="eastAsia"/>
          <w:sz w:val="32"/>
          <w:szCs w:val="32"/>
          <w:lang w:eastAsia="zh-CN"/>
        </w:rPr>
        <w:t>辽宁省卫生健康委员会</w:t>
      </w:r>
      <w:r>
        <w:rPr>
          <w:rFonts w:ascii="仿宋_GB2312" w:eastAsia="仿宋_GB2312" w:hAnsi="黑体" w:hint="eastAsia"/>
          <w:sz w:val="32"/>
          <w:szCs w:val="32"/>
        </w:rPr>
        <w:t>收支预算批复总表</w:t>
      </w:r>
    </w:p>
    <w:p>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lang w:eastAsia="zh-CN"/>
        </w:rPr>
        <w:t>2019年辽宁省卫生健康委员会</w:t>
      </w:r>
      <w:r>
        <w:rPr>
          <w:rFonts w:ascii="仿宋_GB2312" w:eastAsia="仿宋_GB2312" w:hAnsi="黑体" w:hint="eastAsia"/>
          <w:sz w:val="32"/>
          <w:szCs w:val="32"/>
        </w:rPr>
        <w:t>收入预算批复总表</w:t>
      </w:r>
    </w:p>
    <w:p>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lang w:eastAsia="zh-CN"/>
        </w:rPr>
        <w:t>2019年辽宁省卫生健康委员会</w:t>
      </w:r>
      <w:r>
        <w:rPr>
          <w:rFonts w:ascii="仿宋_GB2312" w:eastAsia="仿宋_GB2312" w:hAnsi="黑体" w:hint="eastAsia"/>
          <w:sz w:val="32"/>
          <w:szCs w:val="32"/>
        </w:rPr>
        <w:t>支出预算批复总表</w:t>
      </w:r>
    </w:p>
    <w:p>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lang w:eastAsia="zh-CN"/>
        </w:rPr>
        <w:t>2019年辽宁省卫生健康委员会</w:t>
      </w:r>
      <w:r>
        <w:rPr>
          <w:rFonts w:ascii="仿宋_GB2312" w:eastAsia="仿宋_GB2312" w:hAnsi="黑体" w:hint="eastAsia"/>
          <w:sz w:val="32"/>
          <w:szCs w:val="32"/>
        </w:rPr>
        <w:t>按功能科目批复总表</w:t>
      </w:r>
    </w:p>
    <w:p>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lang w:eastAsia="zh-CN"/>
        </w:rPr>
        <w:t>2019年辽宁省卫生健康委员会</w:t>
      </w:r>
      <w:r>
        <w:rPr>
          <w:rFonts w:ascii="仿宋_GB2312" w:eastAsia="仿宋_GB2312" w:hAnsi="黑体" w:hint="eastAsia"/>
          <w:sz w:val="32"/>
          <w:szCs w:val="32"/>
        </w:rPr>
        <w:t>政府预算支出经济分类批复总表</w:t>
      </w:r>
    </w:p>
    <w:p>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lang w:eastAsia="zh-CN"/>
        </w:rPr>
        <w:t>2019年辽宁省卫生健康委员会</w:t>
      </w:r>
      <w:r>
        <w:rPr>
          <w:rFonts w:ascii="仿宋_GB2312" w:eastAsia="仿宋_GB2312" w:hAnsi="黑体" w:hint="eastAsia"/>
          <w:sz w:val="32"/>
          <w:szCs w:val="32"/>
        </w:rPr>
        <w:t>部门预算支出经济分类批复总表</w:t>
      </w:r>
    </w:p>
    <w:p>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lang w:eastAsia="zh-CN"/>
        </w:rPr>
        <w:t>2019年辽宁省卫生健康委员会</w:t>
      </w:r>
      <w:r>
        <w:rPr>
          <w:rFonts w:ascii="仿宋_GB2312" w:eastAsia="仿宋_GB2312" w:hAnsi="黑体" w:hint="eastAsia"/>
          <w:sz w:val="32"/>
          <w:szCs w:val="32"/>
        </w:rPr>
        <w:t>一般公共预算支出批复表</w:t>
      </w:r>
    </w:p>
    <w:p>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lang w:eastAsia="zh-CN"/>
        </w:rPr>
        <w:t>2019年辽宁省卫生健康委员会</w:t>
      </w:r>
      <w:r>
        <w:rPr>
          <w:rFonts w:ascii="仿宋_GB2312" w:eastAsia="仿宋_GB2312" w:hAnsi="黑体" w:hint="eastAsia"/>
          <w:sz w:val="32"/>
          <w:szCs w:val="32"/>
        </w:rPr>
        <w:t>财政拨款收入安排支出批复表</w:t>
      </w:r>
    </w:p>
    <w:p>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lang w:eastAsia="zh-CN"/>
        </w:rPr>
        <w:t>2019年辽宁省卫生健康委员会</w:t>
      </w:r>
      <w:r>
        <w:rPr>
          <w:rFonts w:ascii="仿宋_GB2312" w:eastAsia="仿宋_GB2312" w:hAnsi="黑体" w:hint="eastAsia"/>
          <w:sz w:val="32"/>
          <w:szCs w:val="32"/>
        </w:rPr>
        <w:t>中央提前告知转移支付资金安排支出批复表</w:t>
      </w:r>
    </w:p>
    <w:p>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lang w:eastAsia="zh-CN"/>
        </w:rPr>
        <w:t>2019年辽宁省卫生健康委员会</w:t>
      </w:r>
      <w:r>
        <w:rPr>
          <w:rFonts w:ascii="仿宋_GB2312" w:eastAsia="仿宋_GB2312" w:cs="宋体" w:hAnsi="宋体" w:hint="eastAsia"/>
          <w:sz w:val="32"/>
          <w:szCs w:val="32"/>
        </w:rPr>
        <w:t>纳入预算管理的行政事业性收费等非税收入安排支出批复表</w:t>
      </w:r>
    </w:p>
    <w:p>
      <w:pPr>
        <w:tabs>
          <w:tab w:val="left" w:pos="1260"/>
        </w:tabs>
        <w:spacing w:line="560" w:lineRule="exact"/>
        <w:ind w:leftChars="302" w:left="1488" w:hangingChars="267" w:hanging="854"/>
        <w:rPr>
          <w:rFonts w:ascii="仿宋_GB2312" w:eastAsia="仿宋_GB2312" w:cs="宋体" w:hAnsi="宋体" w:hint="eastAsia"/>
          <w:sz w:val="32"/>
          <w:szCs w:val="32"/>
        </w:rPr>
      </w:pPr>
      <w:r>
        <w:rPr>
          <w:rFonts w:ascii="仿宋_GB2312" w:eastAsia="仿宋_GB2312" w:hAnsi="黑体" w:hint="eastAsia"/>
          <w:sz w:val="32"/>
          <w:szCs w:val="32"/>
          <w:lang w:eastAsia="zh-CN"/>
        </w:rPr>
        <w:t>十一、2019年辽宁省卫生健康委员会</w:t>
      </w:r>
      <w:r>
        <w:rPr>
          <w:rFonts w:ascii="仿宋_GB2312" w:eastAsia="仿宋_GB2312" w:cs="宋体" w:hAnsi="宋体" w:hint="eastAsia"/>
          <w:sz w:val="32"/>
          <w:szCs w:val="32"/>
        </w:rPr>
        <w:t>纳入政府性基金预算管理收入安排支出批复表</w:t>
      </w:r>
    </w:p>
    <w:p>
      <w:pPr>
        <w:tabs>
          <w:tab w:val="left" w:pos="1260"/>
        </w:tabs>
        <w:spacing w:line="560" w:lineRule="exact"/>
        <w:ind w:leftChars="302" w:left="1488" w:hangingChars="267" w:hanging="854"/>
        <w:rPr>
          <w:rFonts w:ascii="仿宋_GB2312" w:eastAsia="仿宋_GB2312" w:hAnsi="黑体"/>
          <w:sz w:val="32"/>
          <w:szCs w:val="32"/>
        </w:rPr>
      </w:pPr>
      <w:r>
        <w:rPr>
          <w:rFonts w:ascii="仿宋_GB2312" w:eastAsia="仿宋_GB2312" w:hAnsi="黑体" w:hint="eastAsia"/>
          <w:sz w:val="32"/>
          <w:szCs w:val="32"/>
        </w:rPr>
        <w:t>十二、</w:t>
      </w:r>
      <w:r>
        <w:rPr>
          <w:rFonts w:ascii="仿宋_GB2312" w:eastAsia="仿宋_GB2312" w:hAnsi="黑体" w:hint="eastAsia"/>
          <w:sz w:val="32"/>
          <w:szCs w:val="32"/>
          <w:lang w:eastAsia="zh-CN"/>
        </w:rPr>
        <w:t>2019年辽宁省卫生健康委员会</w:t>
      </w:r>
      <w:r>
        <w:rPr>
          <w:rFonts w:ascii="仿宋_GB2312" w:eastAsia="仿宋_GB2312" w:cs="宋体" w:hAnsi="宋体" w:hint="eastAsia"/>
          <w:sz w:val="32"/>
          <w:szCs w:val="32"/>
        </w:rPr>
        <w:t>纳入专户管理的行政事业性收费等非税收入安排支出批复表</w:t>
      </w:r>
    </w:p>
    <w:p>
      <w:pPr>
        <w:spacing w:line="560" w:lineRule="exact"/>
        <w:ind w:leftChars="302" w:left="1488" w:hangingChars="267" w:hanging="854"/>
        <w:rPr>
          <w:rFonts w:ascii="仿宋_GB2312" w:eastAsia="仿宋_GB2312" w:hAnsi="黑体"/>
          <w:sz w:val="32"/>
          <w:szCs w:val="32"/>
        </w:rPr>
      </w:pPr>
      <w:r>
        <w:rPr>
          <w:rFonts w:ascii="仿宋_GB2312" w:eastAsia="仿宋_GB2312" w:hAnsi="黑体" w:hint="eastAsia"/>
          <w:sz w:val="32"/>
          <w:szCs w:val="32"/>
        </w:rPr>
        <w:t>十三、</w:t>
      </w:r>
      <w:r>
        <w:rPr>
          <w:rFonts w:ascii="仿宋_GB2312" w:eastAsia="仿宋_GB2312" w:hAnsi="黑体" w:hint="eastAsia"/>
          <w:sz w:val="32"/>
          <w:szCs w:val="32"/>
          <w:lang w:eastAsia="zh-CN"/>
        </w:rPr>
        <w:t>2019年辽宁省卫生健康委员会</w:t>
      </w:r>
      <w:r>
        <w:rPr>
          <w:rFonts w:ascii="仿宋_GB2312" w:eastAsia="仿宋_GB2312" w:hAnsi="黑体" w:hint="eastAsia"/>
          <w:sz w:val="32"/>
          <w:szCs w:val="32"/>
        </w:rPr>
        <w:t>一般公共预算基本支出批复表</w:t>
      </w:r>
    </w:p>
    <w:p>
      <w:pPr>
        <w:spacing w:line="560" w:lineRule="exact"/>
        <w:ind w:leftChars="302" w:left="1488" w:hangingChars="267" w:hanging="854"/>
        <w:rPr>
          <w:rFonts w:ascii="仿宋_GB2312" w:eastAsia="仿宋_GB2312" w:hAnsi="黑体"/>
          <w:sz w:val="32"/>
          <w:szCs w:val="32"/>
        </w:rPr>
      </w:pPr>
      <w:r>
        <w:rPr>
          <w:rFonts w:ascii="仿宋_GB2312" w:eastAsia="仿宋_GB2312" w:hAnsi="黑体" w:hint="eastAsia"/>
          <w:sz w:val="32"/>
          <w:szCs w:val="32"/>
        </w:rPr>
        <w:t>十四、</w:t>
      </w:r>
      <w:r>
        <w:rPr>
          <w:rFonts w:ascii="仿宋_GB2312" w:eastAsia="仿宋_GB2312" w:hAnsi="黑体" w:hint="eastAsia"/>
          <w:sz w:val="32"/>
          <w:szCs w:val="32"/>
          <w:lang w:eastAsia="zh-CN"/>
        </w:rPr>
        <w:t>2019年辽宁省卫生健康委员会</w:t>
      </w:r>
      <w:r>
        <w:rPr>
          <w:rFonts w:ascii="仿宋_GB2312" w:eastAsia="仿宋_GB2312" w:hAnsi="黑体" w:hint="eastAsia"/>
          <w:sz w:val="32"/>
          <w:szCs w:val="32"/>
        </w:rPr>
        <w:t>一般公共预算“三公”经费支出批复表</w:t>
      </w:r>
    </w:p>
    <w:p>
      <w:pPr>
        <w:spacing w:line="560" w:lineRule="exact"/>
        <w:ind w:leftChars="302" w:left="1488" w:hangingChars="267" w:hanging="854"/>
        <w:rPr>
          <w:rFonts w:ascii="仿宋_GB2312" w:eastAsia="仿宋_GB2312" w:hAnsi="黑体"/>
          <w:sz w:val="32"/>
          <w:szCs w:val="32"/>
        </w:rPr>
      </w:pPr>
      <w:r>
        <w:rPr>
          <w:rFonts w:ascii="仿宋_GB2312" w:eastAsia="仿宋_GB2312" w:hAnsi="黑体" w:hint="eastAsia"/>
          <w:sz w:val="32"/>
          <w:szCs w:val="32"/>
        </w:rPr>
        <w:t>十五、</w:t>
      </w:r>
      <w:r>
        <w:rPr>
          <w:rFonts w:ascii="仿宋_GB2312" w:eastAsia="仿宋_GB2312" w:hAnsi="黑体" w:hint="eastAsia"/>
          <w:sz w:val="32"/>
          <w:szCs w:val="32"/>
          <w:lang w:eastAsia="zh-CN"/>
        </w:rPr>
        <w:t>2019年辽宁省卫生健康委员会</w:t>
      </w:r>
      <w:r>
        <w:rPr>
          <w:rFonts w:ascii="仿宋_GB2312" w:eastAsia="仿宋_GB2312" w:hAnsi="黑体" w:hint="eastAsia"/>
          <w:sz w:val="32"/>
          <w:szCs w:val="32"/>
        </w:rPr>
        <w:t>项目等支出明细情况批复表</w:t>
      </w:r>
    </w:p>
    <w:p>
      <w:pPr>
        <w:spacing w:line="560" w:lineRule="exact"/>
        <w:ind w:leftChars="302" w:left="1488" w:hangingChars="267" w:hanging="854"/>
        <w:rPr>
          <w:rFonts w:ascii="仿宋_GB2312" w:eastAsia="仿宋_GB2312" w:hAnsi="黑体"/>
          <w:sz w:val="32"/>
          <w:szCs w:val="32"/>
        </w:rPr>
      </w:pPr>
      <w:r>
        <w:rPr>
          <w:rFonts w:ascii="仿宋_GB2312" w:eastAsia="仿宋_GB2312" w:hAnsi="黑体" w:hint="eastAsia"/>
          <w:sz w:val="32"/>
          <w:szCs w:val="32"/>
        </w:rPr>
        <w:t>十六、</w:t>
      </w:r>
      <w:r>
        <w:rPr>
          <w:rFonts w:ascii="仿宋_GB2312" w:eastAsia="仿宋_GB2312" w:hAnsi="黑体" w:hint="eastAsia"/>
          <w:sz w:val="32"/>
          <w:szCs w:val="32"/>
          <w:lang w:eastAsia="zh-CN"/>
        </w:rPr>
        <w:t>2019年辽宁省卫生健康委员会</w:t>
      </w:r>
      <w:r>
        <w:rPr>
          <w:rFonts w:ascii="仿宋_GB2312" w:eastAsia="仿宋_GB2312" w:hAnsi="黑体" w:hint="eastAsia"/>
          <w:sz w:val="32"/>
          <w:szCs w:val="32"/>
        </w:rPr>
        <w:t>债务支出明细情况批复表</w:t>
      </w:r>
    </w:p>
    <w:p>
      <w:pPr>
        <w:spacing w:line="560" w:lineRule="exact"/>
        <w:ind w:leftChars="302" w:left="1488" w:hangingChars="267" w:hanging="854"/>
        <w:rPr>
          <w:rFonts w:ascii="仿宋_GB2312" w:eastAsia="仿宋_GB2312" w:hAnsi="黑体"/>
          <w:sz w:val="32"/>
          <w:szCs w:val="32"/>
        </w:rPr>
      </w:pPr>
      <w:r>
        <w:rPr>
          <w:rFonts w:ascii="仿宋_GB2312" w:eastAsia="仿宋_GB2312" w:hAnsi="黑体" w:hint="eastAsia"/>
          <w:sz w:val="32"/>
          <w:szCs w:val="32"/>
        </w:rPr>
        <w:t>十七、</w:t>
      </w:r>
      <w:r>
        <w:rPr>
          <w:rFonts w:ascii="仿宋_GB2312" w:eastAsia="仿宋_GB2312" w:hAnsi="黑体" w:hint="eastAsia"/>
          <w:sz w:val="32"/>
          <w:szCs w:val="32"/>
          <w:lang w:eastAsia="zh-CN"/>
        </w:rPr>
        <w:t>2019年辽宁省卫生健康委员会</w:t>
      </w:r>
      <w:r>
        <w:rPr>
          <w:rFonts w:ascii="仿宋_GB2312" w:eastAsia="仿宋_GB2312" w:hAnsi="黑体" w:hint="eastAsia"/>
          <w:sz w:val="32"/>
          <w:szCs w:val="32"/>
        </w:rPr>
        <w:t>政府采购支出明细情况批复表</w:t>
      </w:r>
    </w:p>
    <w:p>
      <w:pPr>
        <w:spacing w:line="560" w:lineRule="exact"/>
        <w:ind w:leftChars="302" w:left="1488" w:hangingChars="267" w:hanging="854"/>
        <w:rPr>
          <w:rFonts w:ascii="仿宋_GB2312" w:eastAsia="仿宋_GB2312" w:hAnsi="黑体"/>
          <w:sz w:val="32"/>
          <w:szCs w:val="32"/>
        </w:rPr>
      </w:pPr>
      <w:r>
        <w:rPr>
          <w:rFonts w:ascii="仿宋_GB2312" w:eastAsia="仿宋_GB2312" w:hAnsi="黑体" w:hint="eastAsia"/>
          <w:sz w:val="32"/>
          <w:szCs w:val="32"/>
        </w:rPr>
        <w:t>十八、</w:t>
      </w:r>
      <w:r>
        <w:rPr>
          <w:rFonts w:ascii="仿宋_GB2312" w:eastAsia="仿宋_GB2312" w:hAnsi="黑体" w:hint="eastAsia"/>
          <w:sz w:val="32"/>
          <w:szCs w:val="32"/>
          <w:lang w:eastAsia="zh-CN"/>
        </w:rPr>
        <w:t>2019年辽宁省卫生健康委员会</w:t>
      </w:r>
      <w:r>
        <w:rPr>
          <w:rFonts w:ascii="仿宋_GB2312" w:eastAsia="仿宋_GB2312" w:hAnsi="黑体" w:hint="eastAsia"/>
          <w:sz w:val="32"/>
          <w:szCs w:val="32"/>
        </w:rPr>
        <w:t>政府购买服务支出明细情况批复表</w:t>
      </w:r>
    </w:p>
    <w:p>
      <w:pPr>
        <w:spacing w:line="560" w:lineRule="exact"/>
        <w:ind w:leftChars="302" w:left="1488" w:hangingChars="267" w:hanging="854"/>
        <w:rPr>
          <w:rFonts w:ascii="黑体" w:eastAsia="黑体" w:hAnsi="黑体"/>
          <w:sz w:val="32"/>
          <w:szCs w:val="32"/>
        </w:rPr>
      </w:pPr>
      <w:r>
        <w:rPr>
          <w:rFonts w:ascii="仿宋_GB2312" w:eastAsia="仿宋_GB2312" w:hAnsi="黑体" w:hint="eastAsia"/>
          <w:sz w:val="32"/>
          <w:szCs w:val="32"/>
        </w:rPr>
        <w:t>十九、201</w:t>
      </w:r>
      <w:r>
        <w:rPr>
          <w:rFonts w:ascii="仿宋_GB2312" w:eastAsia="仿宋_GB2312" w:hAnsi="黑体" w:hint="eastAsia"/>
          <w:sz w:val="32"/>
          <w:szCs w:val="32"/>
          <w:lang w:val="en-US" w:eastAsia="zh-CN"/>
        </w:rPr>
        <w:t>9</w:t>
      </w:r>
      <w:r>
        <w:rPr>
          <w:rFonts w:ascii="仿宋_GB2312" w:eastAsia="仿宋_GB2312" w:hAnsi="黑体" w:hint="eastAsia"/>
          <w:sz w:val="32"/>
          <w:szCs w:val="32"/>
        </w:rPr>
        <w:t>年</w:t>
      </w:r>
      <w:r>
        <w:rPr>
          <w:rFonts w:ascii="仿宋_GB2312" w:eastAsia="仿宋_GB2312" w:hAnsi="黑体" w:hint="eastAsia"/>
          <w:sz w:val="32"/>
          <w:szCs w:val="32"/>
          <w:lang w:eastAsia="zh-CN"/>
        </w:rPr>
        <w:t>辽宁省卫生健康委员会</w:t>
      </w:r>
      <w:r>
        <w:rPr>
          <w:rFonts w:ascii="仿宋_GB2312" w:eastAsia="仿宋_GB2312" w:hAnsi="黑体" w:hint="eastAsia"/>
          <w:sz w:val="32"/>
          <w:szCs w:val="32"/>
        </w:rPr>
        <w:t>项目支出预算绩效目标情况表</w:t>
      </w:r>
    </w:p>
    <w:p>
      <w:pPr>
        <w:spacing w:line="560" w:lineRule="exact"/>
        <w:ind w:left="1920" w:hangingChars="600" w:hanging="1920"/>
        <w:rPr>
          <w:rFonts w:ascii="黑体" w:eastAsia="黑体" w:hAnsi="黑体"/>
          <w:sz w:val="32"/>
          <w:szCs w:val="32"/>
        </w:rPr>
      </w:pPr>
      <w:r>
        <w:rPr>
          <w:rFonts w:ascii="黑体" w:eastAsia="黑体" w:hAnsi="黑体" w:hint="eastAsia"/>
          <w:sz w:val="32"/>
          <w:szCs w:val="32"/>
        </w:rPr>
        <w:t>第</w:t>
      </w:r>
      <w:r>
        <w:rPr>
          <w:rFonts w:ascii="黑体" w:eastAsia="黑体" w:hAnsi="黑体" w:hint="eastAsia"/>
          <w:sz w:val="32"/>
          <w:szCs w:val="32"/>
          <w:lang w:eastAsia="zh-CN"/>
        </w:rPr>
        <w:t>四</w:t>
      </w:r>
      <w:r>
        <w:rPr>
          <w:rFonts w:ascii="黑体" w:eastAsia="黑体" w:hAnsi="黑体" w:hint="eastAsia"/>
          <w:sz w:val="32"/>
          <w:szCs w:val="32"/>
        </w:rPr>
        <w:t xml:space="preserve">部分    </w:t>
      </w:r>
      <w:r>
        <w:rPr>
          <w:rFonts w:ascii="黑体" w:eastAsia="黑体" w:cs="黑体" w:hAnsi="黑体" w:hint="eastAsia"/>
          <w:sz w:val="32"/>
          <w:szCs w:val="32"/>
        </w:rPr>
        <w:t>辽宁省卫生</w:t>
      </w:r>
      <w:r>
        <w:rPr>
          <w:rFonts w:ascii="黑体" w:eastAsia="黑体" w:cs="黑体" w:hAnsi="黑体" w:hint="eastAsia"/>
          <w:sz w:val="32"/>
          <w:szCs w:val="32"/>
          <w:lang w:eastAsia="zh-CN"/>
        </w:rPr>
        <w:t>健康</w:t>
      </w:r>
      <w:r>
        <w:rPr>
          <w:rFonts w:ascii="黑体" w:eastAsia="黑体" w:cs="黑体" w:hAnsi="黑体" w:hint="eastAsia"/>
          <w:sz w:val="32"/>
          <w:szCs w:val="32"/>
        </w:rPr>
        <w:t>委员会</w:t>
      </w:r>
      <w:r>
        <w:rPr>
          <w:rFonts w:ascii="黑体" w:eastAsia="黑体" w:hAnsi="黑体" w:hint="eastAsia"/>
          <w:sz w:val="32"/>
          <w:szCs w:val="32"/>
        </w:rPr>
        <w:t>201</w:t>
      </w:r>
      <w:r>
        <w:rPr>
          <w:rFonts w:ascii="黑体" w:eastAsia="黑体" w:hAnsi="黑体" w:hint="eastAsia"/>
          <w:sz w:val="32"/>
          <w:szCs w:val="32"/>
          <w:lang w:val="en-US" w:eastAsia="zh-CN"/>
        </w:rPr>
        <w:t>9</w:t>
      </w:r>
      <w:r>
        <w:rPr>
          <w:rFonts w:ascii="黑体" w:eastAsia="黑体" w:hAnsi="黑体" w:hint="eastAsia"/>
          <w:sz w:val="32"/>
          <w:szCs w:val="32"/>
        </w:rPr>
        <w:t>年部门预算情况说明</w:t>
      </w:r>
    </w:p>
    <w:p>
      <w:pPr>
        <w:spacing w:line="560" w:lineRule="exact"/>
        <w:rPr>
          <w:rFonts w:ascii="黑体" w:eastAsia="黑体" w:hAnsi="黑体"/>
          <w:sz w:val="32"/>
          <w:szCs w:val="32"/>
        </w:rPr>
      </w:pPr>
      <w:r>
        <w:rPr>
          <w:rFonts w:ascii="黑体" w:eastAsia="黑体" w:hAnsi="黑体" w:hint="eastAsia"/>
          <w:sz w:val="32"/>
          <w:szCs w:val="32"/>
        </w:rPr>
        <w:t>第</w:t>
      </w:r>
      <w:r>
        <w:rPr>
          <w:rFonts w:ascii="黑体" w:eastAsia="黑体" w:hAnsi="黑体" w:hint="eastAsia"/>
          <w:sz w:val="32"/>
          <w:szCs w:val="32"/>
          <w:lang w:eastAsia="zh-CN"/>
        </w:rPr>
        <w:t>五</w:t>
      </w:r>
      <w:r>
        <w:rPr>
          <w:rFonts w:ascii="黑体" w:eastAsia="黑体" w:hAnsi="黑体" w:hint="eastAsia"/>
          <w:sz w:val="32"/>
          <w:szCs w:val="32"/>
        </w:rPr>
        <w:t>部分    名词解释</w:t>
      </w:r>
    </w:p>
    <w:p>
      <w:pPr>
        <w:spacing w:line="560" w:lineRule="exact"/>
        <w:rPr>
          <w:rFonts w:ascii="黑体" w:eastAsia="黑体" w:hAnsi="黑体"/>
          <w:sz w:val="32"/>
          <w:szCs w:val="32"/>
        </w:rPr>
      </w:pPr>
    </w:p>
    <w:p>
      <w:pPr>
        <w:spacing w:line="560" w:lineRule="exact"/>
        <w:rPr>
          <w:rFonts w:ascii="黑体" w:eastAsia="黑体" w:hAnsi="黑体"/>
          <w:sz w:val="32"/>
          <w:szCs w:val="32"/>
        </w:rPr>
      </w:pPr>
    </w:p>
    <w:p>
      <w:pPr>
        <w:spacing w:line="560" w:lineRule="exact"/>
        <w:rPr>
          <w:rFonts w:ascii="黑体" w:eastAsia="黑体" w:hAnsi="黑体"/>
          <w:sz w:val="32"/>
          <w:szCs w:val="32"/>
        </w:rPr>
      </w:pPr>
    </w:p>
    <w:p>
      <w:pPr>
        <w:spacing w:line="560" w:lineRule="exact"/>
        <w:rPr>
          <w:rFonts w:ascii="黑体" w:eastAsia="黑体" w:hAnsi="黑体"/>
          <w:sz w:val="32"/>
          <w:szCs w:val="32"/>
        </w:rPr>
      </w:pPr>
    </w:p>
    <w:p>
      <w:pPr>
        <w:spacing w:line="560" w:lineRule="exact"/>
        <w:rPr>
          <w:rFonts w:ascii="黑体" w:eastAsia="黑体" w:hAnsi="黑体"/>
          <w:sz w:val="32"/>
          <w:szCs w:val="32"/>
        </w:rPr>
      </w:pPr>
    </w:p>
    <w:p>
      <w:pPr>
        <w:spacing w:line="560" w:lineRule="exact"/>
        <w:rPr>
          <w:rFonts w:ascii="黑体" w:eastAsia="黑体" w:hAnsi="黑体"/>
          <w:sz w:val="32"/>
          <w:szCs w:val="32"/>
        </w:rPr>
      </w:pPr>
    </w:p>
    <w:p>
      <w:pPr>
        <w:spacing w:line="560" w:lineRule="exact"/>
        <w:rPr>
          <w:rFonts w:ascii="黑体" w:eastAsia="黑体" w:hAnsi="黑体"/>
          <w:sz w:val="32"/>
          <w:szCs w:val="32"/>
        </w:rPr>
      </w:pPr>
    </w:p>
    <w:p>
      <w:pPr>
        <w:spacing w:line="560" w:lineRule="exact"/>
        <w:jc w:val="center"/>
        <w:rPr>
          <w:rFonts w:ascii="黑体" w:eastAsia="黑体" w:hAnsi="黑体" w:hint="eastAsia"/>
          <w:sz w:val="32"/>
          <w:szCs w:val="32"/>
          <w:lang w:eastAsia="zh-CN"/>
        </w:rPr>
      </w:pPr>
    </w:p>
    <w:p>
      <w:pPr>
        <w:spacing w:line="560" w:lineRule="exact"/>
        <w:jc w:val="center"/>
        <w:rPr>
          <w:rFonts w:ascii="黑体" w:eastAsia="黑体" w:hAnsi="黑体" w:hint="eastAsia"/>
          <w:sz w:val="32"/>
          <w:szCs w:val="32"/>
          <w:lang w:eastAsia="zh-CN"/>
        </w:rPr>
      </w:pPr>
    </w:p>
    <w:p>
      <w:pPr>
        <w:spacing w:line="560" w:lineRule="exact"/>
        <w:jc w:val="center"/>
        <w:rPr>
          <w:rFonts w:ascii="黑体" w:eastAsia="黑体" w:hAnsi="黑体" w:hint="eastAsia"/>
          <w:sz w:val="32"/>
          <w:szCs w:val="32"/>
          <w:lang w:eastAsia="zh-CN"/>
        </w:rPr>
      </w:pPr>
      <w:r>
        <w:rPr>
          <w:rFonts w:ascii="黑体" w:eastAsia="黑体" w:hAnsi="黑体" w:hint="eastAsia"/>
          <w:sz w:val="32"/>
          <w:szCs w:val="32"/>
          <w:lang w:eastAsia="zh-CN"/>
        </w:rPr>
        <w:t>第一部分</w:t>
      </w:r>
    </w:p>
    <w:p>
      <w:pPr>
        <w:spacing w:line="560" w:lineRule="exact"/>
        <w:rPr>
          <w:rFonts w:ascii="黑体" w:eastAsia="黑体" w:hAnsi="黑体"/>
          <w:sz w:val="32"/>
          <w:szCs w:val="32"/>
        </w:rPr>
      </w:pPr>
    </w:p>
    <w:p>
      <w:pPr>
        <w:spacing w:line="560" w:lineRule="exact"/>
        <w:jc w:val="center"/>
        <w:rPr>
          <w:rFonts w:ascii="宋体" w:hAnsi="宋体" w:hint="eastAsia"/>
          <w:b/>
          <w:sz w:val="36"/>
          <w:szCs w:val="36"/>
          <w:lang w:eastAsia="zh-CN"/>
        </w:rPr>
      </w:pPr>
      <w:r>
        <w:rPr>
          <w:rFonts w:ascii="宋体" w:hAnsi="宋体" w:hint="eastAsia"/>
          <w:b/>
          <w:sz w:val="36"/>
          <w:szCs w:val="36"/>
          <w:lang w:eastAsia="zh-CN"/>
        </w:rPr>
        <w:t>辽宁省卫生健康委员会</w:t>
      </w:r>
    </w:p>
    <w:p>
      <w:pPr>
        <w:spacing w:line="560" w:lineRule="exact"/>
        <w:jc w:val="center"/>
        <w:rPr>
          <w:rFonts w:ascii="黑体" w:eastAsia="宋体" w:hAnsi="黑体" w:hint="eastAsia"/>
          <w:sz w:val="32"/>
          <w:szCs w:val="32"/>
          <w:lang w:eastAsia="zh-CN"/>
        </w:rPr>
      </w:pPr>
      <w:r>
        <w:rPr>
          <w:rFonts w:ascii="宋体" w:hAnsi="宋体" w:hint="eastAsia"/>
          <w:b/>
          <w:sz w:val="36"/>
          <w:szCs w:val="36"/>
          <w:lang w:eastAsia="zh-CN"/>
        </w:rPr>
        <w:t>部门预决算公开管理暂行办法</w:t>
      </w:r>
    </w:p>
    <w:p>
      <w:pPr>
        <w:spacing w:line="560" w:lineRule="exact"/>
        <w:rPr>
          <w:rFonts w:ascii="黑体" w:eastAsia="黑体" w:hAnsi="黑体"/>
          <w:sz w:val="32"/>
          <w:szCs w:val="32"/>
        </w:rPr>
      </w:pPr>
    </w:p>
    <w:p>
      <w:pPr>
        <w:spacing w:line="560" w:lineRule="exact"/>
        <w:rPr>
          <w:rFonts w:ascii="黑体" w:eastAsia="黑体" w:hAnsi="黑体"/>
          <w:sz w:val="32"/>
          <w:szCs w:val="32"/>
        </w:rPr>
      </w:pPr>
    </w:p>
    <w:p>
      <w:pPr>
        <w:spacing w:line="560" w:lineRule="exact"/>
        <w:rPr>
          <w:rFonts w:ascii="黑体" w:eastAsia="黑体" w:hAnsi="黑体"/>
          <w:sz w:val="32"/>
          <w:szCs w:val="32"/>
        </w:rPr>
      </w:pPr>
    </w:p>
    <w:p>
      <w:pPr>
        <w:spacing w:line="560" w:lineRule="exact"/>
        <w:rPr>
          <w:rFonts w:ascii="黑体" w:eastAsia="黑体" w:hAnsi="黑体"/>
          <w:sz w:val="32"/>
          <w:szCs w:val="32"/>
        </w:rPr>
      </w:pPr>
    </w:p>
    <w:p>
      <w:pPr>
        <w:spacing w:line="560" w:lineRule="exact"/>
        <w:rPr>
          <w:rFonts w:ascii="黑体" w:eastAsia="黑体"/>
          <w:sz w:val="32"/>
          <w:szCs w:val="32"/>
        </w:rPr>
      </w:pPr>
    </w:p>
    <w:p>
      <w:pPr>
        <w:spacing w:line="560" w:lineRule="exact"/>
        <w:rPr>
          <w:rFonts w:ascii="宋体" w:hAnsi="宋体"/>
          <w:b/>
          <w:sz w:val="36"/>
          <w:szCs w:val="36"/>
        </w:rPr>
      </w:pPr>
    </w:p>
    <w:p>
      <w:pPr>
        <w:spacing w:line="560" w:lineRule="exact"/>
        <w:jc w:val="center"/>
        <w:rPr>
          <w:rFonts w:ascii="宋体" w:hAnsi="宋体" w:hint="eastAsia"/>
          <w:b/>
          <w:sz w:val="36"/>
          <w:szCs w:val="36"/>
        </w:rPr>
      </w:pPr>
    </w:p>
    <w:p>
      <w:pPr>
        <w:spacing w:line="560" w:lineRule="exact"/>
        <w:jc w:val="center"/>
        <w:rPr>
          <w:rFonts w:ascii="宋体" w:hAnsi="宋体" w:hint="eastAsia"/>
          <w:b/>
          <w:sz w:val="36"/>
          <w:szCs w:val="36"/>
        </w:rPr>
      </w:pPr>
    </w:p>
    <w:p>
      <w:pPr>
        <w:spacing w:line="560" w:lineRule="exact"/>
        <w:jc w:val="center"/>
        <w:rPr>
          <w:rFonts w:ascii="宋体" w:hAnsi="宋体" w:hint="eastAsia"/>
          <w:b/>
          <w:sz w:val="36"/>
          <w:szCs w:val="36"/>
        </w:rPr>
      </w:pPr>
    </w:p>
    <w:p>
      <w:pPr>
        <w:spacing w:line="560" w:lineRule="exact"/>
        <w:jc w:val="center"/>
        <w:rPr>
          <w:rFonts w:ascii="宋体" w:hAnsi="宋体" w:hint="eastAsia"/>
          <w:b/>
          <w:sz w:val="36"/>
          <w:szCs w:val="36"/>
        </w:rPr>
      </w:pPr>
    </w:p>
    <w:p>
      <w:pPr>
        <w:spacing w:line="560" w:lineRule="exact"/>
        <w:jc w:val="center"/>
        <w:rPr>
          <w:rFonts w:ascii="宋体" w:hAnsi="宋体" w:hint="eastAsia"/>
          <w:b/>
          <w:sz w:val="36"/>
          <w:szCs w:val="36"/>
        </w:rPr>
      </w:pPr>
    </w:p>
    <w:p>
      <w:pPr>
        <w:spacing w:line="560" w:lineRule="exact"/>
        <w:jc w:val="center"/>
        <w:rPr>
          <w:rFonts w:ascii="宋体" w:hAnsi="宋体" w:hint="eastAsia"/>
          <w:b/>
          <w:sz w:val="36"/>
          <w:szCs w:val="36"/>
        </w:rPr>
      </w:pPr>
    </w:p>
    <w:p>
      <w:pPr>
        <w:spacing w:line="560" w:lineRule="exact"/>
        <w:jc w:val="center"/>
        <w:rPr>
          <w:rFonts w:ascii="宋体" w:hAnsi="宋体" w:hint="eastAsia"/>
          <w:b/>
          <w:sz w:val="36"/>
          <w:szCs w:val="36"/>
        </w:rPr>
      </w:pPr>
    </w:p>
    <w:p>
      <w:pPr>
        <w:jc w:val="center"/>
        <w:rPr>
          <w:rFonts w:ascii="方正小标宋简体" w:eastAsia="方正小标宋简体" w:cs="方正小标宋简体" w:hAnsi="方正小标宋简体" w:hint="eastAsia"/>
          <w:sz w:val="44"/>
          <w:szCs w:val="44"/>
          <w:lang w:eastAsia="zh-CN"/>
        </w:rPr>
      </w:pPr>
      <w:r>
        <w:rPr>
          <w:rFonts w:ascii="方正小标宋简体" w:eastAsia="方正小标宋简体" w:cs="方正小标宋简体" w:hAnsi="方正小标宋简体" w:hint="eastAsia"/>
          <w:sz w:val="44"/>
          <w:szCs w:val="44"/>
          <w:lang w:eastAsia="zh-CN"/>
        </w:rPr>
        <w:t>辽宁省卫生健康委员会</w:t>
      </w:r>
    </w:p>
    <w:p>
      <w:pPr>
        <w:jc w:val="center"/>
        <w:rPr>
          <w:rFonts w:ascii="方正小标宋简体" w:eastAsia="方正小标宋简体" w:cs="方正小标宋简体" w:hAnsi="方正小标宋简体" w:hint="eastAsia"/>
          <w:sz w:val="44"/>
          <w:szCs w:val="44"/>
          <w:lang w:eastAsia="zh-CN"/>
        </w:rPr>
      </w:pPr>
      <w:r>
        <w:rPr>
          <w:rFonts w:ascii="方正小标宋简体" w:eastAsia="方正小标宋简体" w:cs="方正小标宋简体" w:hAnsi="方正小标宋简体" w:hint="eastAsia"/>
          <w:sz w:val="44"/>
          <w:szCs w:val="44"/>
          <w:lang w:eastAsia="zh-CN"/>
        </w:rPr>
        <w:t>部门预决算信息公开管理暂行办法</w:t>
      </w:r>
    </w:p>
    <w:p>
      <w:pPr>
        <w:jc w:val="both"/>
        <w:rPr>
          <w:rFonts w:ascii="仿宋" w:eastAsia="仿宋" w:cs="仿宋" w:hAnsi="仿宋" w:hint="eastAsia"/>
          <w:sz w:val="32"/>
          <w:szCs w:val="32"/>
          <w:lang w:eastAsia="zh-CN"/>
        </w:rPr>
      </w:pPr>
    </w:p>
    <w:p>
      <w:pPr>
        <w:numPr>
          <w:ilvl w:val="0"/>
          <w:numId w:val="2"/>
        </w:numPr>
        <w:jc w:val="center"/>
        <w:rPr>
          <w:rFonts w:ascii="黑体" w:eastAsia="黑体" w:cs="黑体" w:hAnsi="黑体" w:hint="eastAsia"/>
          <w:sz w:val="32"/>
          <w:szCs w:val="32"/>
          <w:lang w:val="en-US" w:eastAsia="zh-CN"/>
        </w:rPr>
      </w:pPr>
      <w:r>
        <w:rPr>
          <w:rFonts w:ascii="黑体" w:eastAsia="黑体" w:cs="黑体" w:hAnsi="黑体" w:hint="eastAsia"/>
          <w:sz w:val="32"/>
          <w:szCs w:val="32"/>
          <w:lang w:val="en-US" w:eastAsia="zh-CN"/>
        </w:rPr>
        <w:t xml:space="preserve"> 总  则</w:t>
      </w:r>
    </w:p>
    <w:p>
      <w:pPr>
        <w:ind w:left="0" w:firstLine="640"/>
        <w:jc w:val="both"/>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第一条  辽宁省卫生健康委员会（以下简称“省卫生健康委”）为推进部门预决算信息公开工作，建立全面规范公开透明的预决算制度，根据《中华人民共和国预算法》、《中共辽宁省委办公厅、辽宁省人民政府办公厅印发&lt;关于进一步推进预算公开工作的实施意见&gt;的通知》（辽委办发﹝2016﹞44号）以及政务公开等有关规定，结合本部门实际情况，制定本办法。</w:t>
      </w:r>
    </w:p>
    <w:p>
      <w:pPr>
        <w:ind w:left="0" w:firstLine="640"/>
        <w:jc w:val="both"/>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第二条  本办法所称预算决算信息是指经省财政厅批复的省卫生健康委部门预算、决算、政府采购以及绩效管理等信息。</w:t>
      </w:r>
    </w:p>
    <w:p>
      <w:pPr>
        <w:ind w:left="0" w:firstLine="640"/>
        <w:jc w:val="both"/>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第三条  预决算信息以公开为常态，不公开为例外。预决算信息公开遵循依法依规、真实准确、积极稳妥的原则。</w:t>
      </w:r>
    </w:p>
    <w:p>
      <w:pPr>
        <w:jc w:val="center"/>
        <w:rPr>
          <w:rFonts w:ascii="黑体" w:eastAsia="黑体" w:cs="黑体" w:hAnsi="黑体" w:hint="eastAsia"/>
          <w:sz w:val="32"/>
          <w:szCs w:val="32"/>
          <w:lang w:val="en-US" w:eastAsia="zh-CN"/>
        </w:rPr>
      </w:pPr>
      <w:r>
        <w:rPr>
          <w:rFonts w:ascii="黑体" w:eastAsia="黑体" w:cs="黑体" w:hAnsi="黑体" w:hint="eastAsia"/>
          <w:sz w:val="32"/>
          <w:szCs w:val="32"/>
          <w:lang w:val="en-US" w:eastAsia="zh-CN"/>
        </w:rPr>
        <w:t>第二章  公开主体和职责</w:t>
      </w:r>
    </w:p>
    <w:p>
      <w:pPr>
        <w:ind w:left="0" w:firstLine="640"/>
        <w:jc w:val="both"/>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第四条  在省卫生健康委党组统一领导下，财务审计处牵头负责省卫生健康委部门预决算信息公开工作，政策法规处负责做好公开内容的合规性审查工作，相关处室、委直属单位做好配合工作。</w:t>
      </w:r>
    </w:p>
    <w:p>
      <w:pPr>
        <w:ind w:left="0" w:firstLine="640"/>
        <w:jc w:val="both"/>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第五条  财务审计处按规定组织好公民、法人或者其他组织依申请公开部门预决算信息的答复工作。</w:t>
      </w:r>
    </w:p>
    <w:p>
      <w:pPr>
        <w:jc w:val="center"/>
        <w:rPr>
          <w:rFonts w:ascii="黑体" w:eastAsia="黑体" w:cs="黑体" w:hAnsi="黑体" w:hint="eastAsia"/>
          <w:sz w:val="32"/>
          <w:szCs w:val="32"/>
          <w:lang w:val="en-US" w:eastAsia="zh-CN"/>
        </w:rPr>
      </w:pPr>
      <w:r>
        <w:rPr>
          <w:rFonts w:ascii="黑体" w:eastAsia="黑体" w:cs="黑体" w:hAnsi="黑体" w:hint="eastAsia"/>
          <w:sz w:val="32"/>
          <w:szCs w:val="32"/>
          <w:lang w:val="en-US" w:eastAsia="zh-CN"/>
        </w:rPr>
        <w:t>第三章  公开内容</w:t>
      </w:r>
    </w:p>
    <w:p>
      <w:pPr>
        <w:ind w:left="0" w:firstLineChars="200" w:firstLine="640"/>
        <w:jc w:val="both"/>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第六条  部门预决算信息公开内容包括：</w:t>
      </w:r>
    </w:p>
    <w:p>
      <w:pPr>
        <w:spacing w:line="560" w:lineRule="exact"/>
        <w:ind w:firstLineChars="200" w:firstLine="640"/>
        <w:rPr>
          <w:rFonts w:ascii="仿宋_GB2312" w:eastAsia="仿宋_GB2312" w:hint="eastAsia"/>
          <w:b w:val="0"/>
          <w:bCs w:val="0"/>
          <w:sz w:val="32"/>
          <w:szCs w:val="32"/>
        </w:rPr>
      </w:pPr>
      <w:r>
        <w:rPr>
          <w:rFonts w:ascii="仿宋" w:eastAsia="仿宋" w:cs="仿宋" w:hAnsi="仿宋" w:hint="eastAsia"/>
          <w:b w:val="0"/>
          <w:bCs w:val="0"/>
          <w:sz w:val="32"/>
          <w:szCs w:val="32"/>
          <w:lang w:val="en-US" w:eastAsia="zh-CN"/>
        </w:rPr>
        <w:t>（一）</w:t>
      </w:r>
      <w:r>
        <w:rPr>
          <w:rFonts w:ascii="仿宋_GB2312" w:eastAsia="仿宋_GB2312" w:hint="eastAsia"/>
          <w:b w:val="0"/>
          <w:bCs w:val="0"/>
          <w:sz w:val="32"/>
          <w:szCs w:val="32"/>
        </w:rPr>
        <w:t>部门职责。公开本部门承担的工作范围、工作任务和工作责任。</w:t>
      </w:r>
    </w:p>
    <w:p>
      <w:pPr>
        <w:spacing w:line="560" w:lineRule="exact"/>
        <w:ind w:firstLineChars="200" w:firstLine="640"/>
        <w:rPr>
          <w:rFonts w:ascii="仿宋_GB2312" w:eastAsia="仿宋_GB2312" w:hint="eastAsia"/>
          <w:b w:val="0"/>
          <w:bCs w:val="0"/>
          <w:sz w:val="32"/>
          <w:szCs w:val="32"/>
        </w:rPr>
      </w:pPr>
      <w:r>
        <w:rPr>
          <w:rFonts w:ascii="仿宋_GB2312" w:eastAsia="仿宋_GB2312" w:hint="eastAsia"/>
          <w:b w:val="0"/>
          <w:bCs w:val="0"/>
          <w:sz w:val="32"/>
          <w:szCs w:val="32"/>
          <w:lang w:eastAsia="zh-CN"/>
        </w:rPr>
        <w:t>（二）</w:t>
      </w:r>
      <w:r>
        <w:rPr>
          <w:rFonts w:ascii="仿宋_GB2312" w:eastAsia="仿宋_GB2312" w:hint="eastAsia"/>
          <w:b w:val="0"/>
          <w:bCs w:val="0"/>
          <w:sz w:val="32"/>
          <w:szCs w:val="32"/>
        </w:rPr>
        <w:t>机构设置。公开本部门本级及所属各预算单位名单。</w:t>
      </w:r>
    </w:p>
    <w:p>
      <w:pPr>
        <w:spacing w:line="560" w:lineRule="exact"/>
        <w:ind w:firstLineChars="200" w:firstLine="640"/>
        <w:rPr>
          <w:rFonts w:ascii="仿宋_GB2312" w:eastAsia="仿宋_GB2312" w:hint="eastAsia"/>
          <w:b w:val="0"/>
          <w:bCs w:val="0"/>
          <w:sz w:val="32"/>
          <w:szCs w:val="32"/>
        </w:rPr>
      </w:pPr>
      <w:r>
        <w:rPr>
          <w:rFonts w:ascii="仿宋_GB2312" w:eastAsia="仿宋_GB2312" w:hint="eastAsia"/>
          <w:b w:val="0"/>
          <w:bCs w:val="0"/>
          <w:sz w:val="32"/>
          <w:szCs w:val="32"/>
          <w:lang w:eastAsia="zh-CN"/>
        </w:rPr>
        <w:t>（三）</w:t>
      </w:r>
      <w:r>
        <w:rPr>
          <w:rFonts w:ascii="仿宋_GB2312" w:eastAsia="仿宋_GB2312" w:hint="eastAsia"/>
          <w:b w:val="0"/>
          <w:bCs w:val="0"/>
          <w:sz w:val="32"/>
          <w:szCs w:val="32"/>
        </w:rPr>
        <w:t>预</w:t>
      </w:r>
      <w:r>
        <w:rPr>
          <w:rFonts w:ascii="仿宋_GB2312" w:eastAsia="仿宋_GB2312" w:hint="eastAsia"/>
          <w:b w:val="0"/>
          <w:bCs w:val="0"/>
          <w:sz w:val="32"/>
          <w:szCs w:val="32"/>
          <w:lang w:eastAsia="zh-CN"/>
        </w:rPr>
        <w:t>决</w:t>
      </w:r>
      <w:r>
        <w:rPr>
          <w:rFonts w:ascii="仿宋_GB2312" w:eastAsia="仿宋_GB2312" w:hint="eastAsia"/>
          <w:b w:val="0"/>
          <w:bCs w:val="0"/>
          <w:sz w:val="32"/>
          <w:szCs w:val="32"/>
        </w:rPr>
        <w:t>算收支增减变化。对部门本年度与上年度预</w:t>
      </w:r>
      <w:r>
        <w:rPr>
          <w:rFonts w:ascii="仿宋_GB2312" w:eastAsia="仿宋_GB2312" w:hint="eastAsia"/>
          <w:b w:val="0"/>
          <w:bCs w:val="0"/>
          <w:sz w:val="32"/>
          <w:szCs w:val="32"/>
          <w:lang w:eastAsia="zh-CN"/>
        </w:rPr>
        <w:t>决</w:t>
      </w:r>
      <w:r>
        <w:rPr>
          <w:rFonts w:ascii="仿宋_GB2312" w:eastAsia="仿宋_GB2312" w:hint="eastAsia"/>
          <w:b w:val="0"/>
          <w:bCs w:val="0"/>
          <w:sz w:val="32"/>
          <w:szCs w:val="32"/>
        </w:rPr>
        <w:t>算安排情况进行对比分析，简要说明增减变化原因。</w:t>
      </w:r>
      <w:r>
        <w:rPr>
          <w:rFonts w:ascii="仿宋_GB2312" w:eastAsia="仿宋_GB2312" w:hint="eastAsia"/>
          <w:b w:val="0"/>
          <w:bCs w:val="0"/>
          <w:sz w:val="32"/>
          <w:szCs w:val="32"/>
          <w:lang w:eastAsia="zh-CN"/>
        </w:rPr>
        <w:t>如为新设立单位，无法进行本年度与上年度年对比，在情况说明中加以说明。</w:t>
      </w:r>
    </w:p>
    <w:p>
      <w:pPr>
        <w:spacing w:line="560" w:lineRule="exact"/>
        <w:ind w:firstLineChars="200" w:firstLine="640"/>
        <w:rPr>
          <w:rFonts w:ascii="仿宋_GB2312" w:eastAsia="仿宋_GB2312" w:hint="eastAsia"/>
          <w:b w:val="0"/>
          <w:bCs w:val="0"/>
          <w:sz w:val="32"/>
          <w:szCs w:val="32"/>
        </w:rPr>
      </w:pPr>
      <w:r>
        <w:rPr>
          <w:rFonts w:ascii="仿宋_GB2312" w:eastAsia="仿宋_GB2312" w:hint="eastAsia"/>
          <w:b w:val="0"/>
          <w:bCs w:val="0"/>
          <w:sz w:val="32"/>
          <w:szCs w:val="32"/>
          <w:lang w:eastAsia="zh-CN"/>
        </w:rPr>
        <w:t>（四）</w:t>
      </w:r>
      <w:r>
        <w:rPr>
          <w:rFonts w:ascii="仿宋_GB2312" w:eastAsia="仿宋_GB2312" w:hint="eastAsia"/>
          <w:b w:val="0"/>
          <w:bCs w:val="0"/>
          <w:sz w:val="32"/>
          <w:szCs w:val="32"/>
        </w:rPr>
        <w:t>机关运行经费安排情况。省直行政机关及参公单位说明本部门机关运行经费预算安排情况。</w:t>
      </w:r>
    </w:p>
    <w:p>
      <w:pPr>
        <w:spacing w:line="560" w:lineRule="exact"/>
        <w:ind w:firstLineChars="200" w:firstLine="640"/>
        <w:rPr>
          <w:rFonts w:ascii="仿宋" w:eastAsia="仿宋" w:cs="仿宋" w:hAnsi="仿宋" w:hint="eastAsia"/>
          <w:b w:val="0"/>
          <w:bCs w:val="0"/>
          <w:sz w:val="32"/>
          <w:szCs w:val="32"/>
        </w:rPr>
      </w:pPr>
      <w:r>
        <w:rPr>
          <w:rFonts w:ascii="仿宋_GB2312" w:eastAsia="仿宋_GB2312" w:hint="eastAsia"/>
          <w:b w:val="0"/>
          <w:bCs w:val="0"/>
          <w:sz w:val="32"/>
          <w:szCs w:val="32"/>
          <w:lang w:eastAsia="zh-CN"/>
        </w:rPr>
        <w:t>（五）</w:t>
      </w:r>
      <w:r>
        <w:rPr>
          <w:rFonts w:ascii="仿宋_GB2312" w:eastAsia="仿宋_GB2312" w:hint="eastAsia"/>
          <w:b w:val="0"/>
          <w:bCs w:val="0"/>
          <w:sz w:val="32"/>
          <w:szCs w:val="32"/>
        </w:rPr>
        <w:t>政府采购情况。</w:t>
      </w:r>
      <w:r>
        <w:rPr>
          <w:rFonts w:ascii="仿宋" w:eastAsia="仿宋" w:cs="仿宋" w:hAnsi="仿宋" w:hint="eastAsia"/>
          <w:b w:val="0"/>
          <w:bCs w:val="0"/>
          <w:sz w:val="32"/>
          <w:szCs w:val="32"/>
        </w:rPr>
        <w:t>公开本部门预算安排政府采购总体情况以及政府采购工程、货物和服务预</w:t>
      </w:r>
      <w:r>
        <w:rPr>
          <w:rFonts w:ascii="仿宋" w:eastAsia="仿宋" w:cs="仿宋" w:hAnsi="仿宋" w:hint="eastAsia"/>
          <w:b w:val="0"/>
          <w:bCs w:val="0"/>
          <w:sz w:val="32"/>
          <w:szCs w:val="32"/>
          <w:lang w:eastAsia="zh-CN"/>
        </w:rPr>
        <w:t>决</w:t>
      </w:r>
      <w:r>
        <w:rPr>
          <w:rFonts w:ascii="仿宋" w:eastAsia="仿宋" w:cs="仿宋" w:hAnsi="仿宋" w:hint="eastAsia"/>
          <w:b w:val="0"/>
          <w:bCs w:val="0"/>
          <w:sz w:val="32"/>
          <w:szCs w:val="32"/>
        </w:rPr>
        <w:t>算分项情况，并从采购范围角度分析本部门政府采购项目涉及的品目。</w:t>
      </w:r>
    </w:p>
    <w:p>
      <w:pPr>
        <w:spacing w:line="560" w:lineRule="exact"/>
        <w:ind w:firstLineChars="200" w:firstLine="640"/>
        <w:rPr>
          <w:rFonts w:ascii="仿宋" w:eastAsia="仿宋" w:cs="仿宋" w:hAnsi="仿宋" w:hint="eastAsia"/>
          <w:b w:val="0"/>
          <w:bCs w:val="0"/>
          <w:sz w:val="32"/>
          <w:szCs w:val="32"/>
        </w:rPr>
      </w:pPr>
      <w:r>
        <w:rPr>
          <w:rFonts w:ascii="仿宋_GB2312" w:eastAsia="仿宋_GB2312" w:hint="eastAsia"/>
          <w:b w:val="0"/>
          <w:bCs w:val="0"/>
          <w:sz w:val="32"/>
          <w:szCs w:val="32"/>
          <w:lang w:eastAsia="zh-CN"/>
        </w:rPr>
        <w:t>（六）</w:t>
      </w:r>
      <w:r>
        <w:rPr>
          <w:rFonts w:ascii="仿宋_GB2312" w:eastAsia="仿宋_GB2312" w:hint="eastAsia"/>
          <w:b w:val="0"/>
          <w:bCs w:val="0"/>
          <w:sz w:val="32"/>
          <w:szCs w:val="32"/>
        </w:rPr>
        <w:t>“三公”经费预</w:t>
      </w:r>
      <w:r>
        <w:rPr>
          <w:rFonts w:ascii="仿宋_GB2312" w:eastAsia="仿宋_GB2312" w:hint="eastAsia"/>
          <w:b w:val="0"/>
          <w:bCs w:val="0"/>
          <w:sz w:val="32"/>
          <w:szCs w:val="32"/>
          <w:lang w:eastAsia="zh-CN"/>
        </w:rPr>
        <w:t>决</w:t>
      </w:r>
      <w:r>
        <w:rPr>
          <w:rFonts w:ascii="仿宋_GB2312" w:eastAsia="仿宋_GB2312" w:hint="eastAsia"/>
          <w:b w:val="0"/>
          <w:bCs w:val="0"/>
          <w:sz w:val="32"/>
          <w:szCs w:val="32"/>
        </w:rPr>
        <w:t>算情况。</w:t>
      </w:r>
      <w:r>
        <w:rPr>
          <w:rFonts w:ascii="仿宋" w:eastAsia="仿宋" w:cs="仿宋" w:hAnsi="仿宋" w:hint="eastAsia"/>
          <w:b w:val="0"/>
          <w:bCs w:val="0"/>
          <w:sz w:val="32"/>
          <w:szCs w:val="32"/>
          <w:lang w:eastAsia="zh-CN"/>
        </w:rPr>
        <w:t>公开</w:t>
      </w:r>
      <w:r>
        <w:rPr>
          <w:rFonts w:ascii="仿宋" w:eastAsia="仿宋" w:cs="仿宋" w:hAnsi="仿宋" w:hint="eastAsia"/>
          <w:b w:val="0"/>
          <w:bCs w:val="0"/>
          <w:sz w:val="32"/>
          <w:szCs w:val="32"/>
        </w:rPr>
        <w:t>本部门本年度“三公”经费预</w:t>
      </w:r>
      <w:r>
        <w:rPr>
          <w:rFonts w:ascii="仿宋" w:eastAsia="仿宋" w:cs="仿宋" w:hAnsi="仿宋" w:hint="eastAsia"/>
          <w:b w:val="0"/>
          <w:bCs w:val="0"/>
          <w:sz w:val="32"/>
          <w:szCs w:val="32"/>
          <w:lang w:eastAsia="zh-CN"/>
        </w:rPr>
        <w:t>决</w:t>
      </w:r>
      <w:r>
        <w:rPr>
          <w:rFonts w:ascii="仿宋" w:eastAsia="仿宋" w:cs="仿宋" w:hAnsi="仿宋" w:hint="eastAsia"/>
          <w:b w:val="0"/>
          <w:bCs w:val="0"/>
          <w:sz w:val="32"/>
          <w:szCs w:val="32"/>
        </w:rPr>
        <w:t>算总额及分项数额</w:t>
      </w:r>
      <w:r>
        <w:rPr>
          <w:rFonts w:ascii="仿宋" w:eastAsia="仿宋" w:cs="仿宋" w:hAnsi="仿宋" w:hint="eastAsia"/>
          <w:b w:val="0"/>
          <w:bCs w:val="0"/>
          <w:sz w:val="32"/>
          <w:szCs w:val="32"/>
          <w:lang w:eastAsia="zh-CN"/>
        </w:rPr>
        <w:t>，</w:t>
      </w:r>
      <w:r>
        <w:rPr>
          <w:rFonts w:ascii="仿宋" w:eastAsia="仿宋" w:cs="仿宋" w:hAnsi="仿宋" w:hint="eastAsia"/>
          <w:b w:val="0"/>
          <w:bCs w:val="0"/>
          <w:sz w:val="32"/>
          <w:szCs w:val="32"/>
        </w:rPr>
        <w:t>分别与上年度的预</w:t>
      </w:r>
      <w:r>
        <w:rPr>
          <w:rFonts w:ascii="仿宋" w:eastAsia="仿宋" w:cs="仿宋" w:hAnsi="仿宋" w:hint="eastAsia"/>
          <w:b w:val="0"/>
          <w:bCs w:val="0"/>
          <w:sz w:val="32"/>
          <w:szCs w:val="32"/>
          <w:lang w:eastAsia="zh-CN"/>
        </w:rPr>
        <w:t>决</w:t>
      </w:r>
      <w:r>
        <w:rPr>
          <w:rFonts w:ascii="仿宋" w:eastAsia="仿宋" w:cs="仿宋" w:hAnsi="仿宋" w:hint="eastAsia"/>
          <w:b w:val="0"/>
          <w:bCs w:val="0"/>
          <w:sz w:val="32"/>
          <w:szCs w:val="32"/>
        </w:rPr>
        <w:t>算数进行对比，并说明增减变化原因。</w:t>
      </w:r>
      <w:r>
        <w:rPr>
          <w:rFonts w:ascii="仿宋_GB2312" w:eastAsia="仿宋_GB2312" w:hint="eastAsia"/>
          <w:b w:val="0"/>
          <w:bCs w:val="0"/>
          <w:sz w:val="32"/>
          <w:szCs w:val="32"/>
          <w:lang w:eastAsia="zh-CN"/>
        </w:rPr>
        <w:t>如为新设立单位，无法进行本年度于上年度对比，在情况说明中加以说明。</w:t>
      </w:r>
    </w:p>
    <w:p>
      <w:pPr>
        <w:spacing w:line="560" w:lineRule="exact"/>
        <w:ind w:firstLineChars="200" w:firstLine="640"/>
        <w:rPr>
          <w:rFonts w:ascii="仿宋" w:eastAsia="仿宋" w:cs="仿宋" w:hAnsi="仿宋" w:hint="eastAsia"/>
          <w:b w:val="0"/>
          <w:bCs w:val="0"/>
          <w:sz w:val="32"/>
          <w:szCs w:val="32"/>
        </w:rPr>
      </w:pPr>
      <w:r>
        <w:rPr>
          <w:rFonts w:ascii="仿宋_GB2312" w:eastAsia="仿宋_GB2312" w:hint="eastAsia"/>
          <w:b w:val="0"/>
          <w:bCs w:val="0"/>
          <w:sz w:val="32"/>
          <w:szCs w:val="32"/>
          <w:lang w:eastAsia="zh-CN"/>
        </w:rPr>
        <w:t>（七）</w:t>
      </w:r>
      <w:r>
        <w:rPr>
          <w:rFonts w:ascii="仿宋_GB2312" w:eastAsia="仿宋_GB2312" w:hint="eastAsia"/>
          <w:b w:val="0"/>
          <w:bCs w:val="0"/>
          <w:sz w:val="32"/>
          <w:szCs w:val="32"/>
        </w:rPr>
        <w:t>关于国有资产占用情况。</w:t>
      </w:r>
      <w:r>
        <w:rPr>
          <w:rFonts w:ascii="仿宋" w:eastAsia="仿宋" w:cs="仿宋" w:hAnsi="仿宋" w:hint="eastAsia"/>
          <w:b w:val="0"/>
          <w:bCs w:val="0"/>
          <w:sz w:val="32"/>
          <w:szCs w:val="32"/>
        </w:rPr>
        <w:t>公开</w:t>
      </w:r>
      <w:r>
        <w:rPr>
          <w:rFonts w:ascii="仿宋" w:eastAsia="仿宋" w:cs="仿宋" w:hAnsi="仿宋" w:hint="eastAsia"/>
          <w:b w:val="0"/>
          <w:bCs w:val="0"/>
          <w:sz w:val="32"/>
          <w:szCs w:val="32"/>
          <w:lang w:eastAsia="zh-CN"/>
        </w:rPr>
        <w:t>预算年度</w:t>
      </w:r>
      <w:r>
        <w:rPr>
          <w:rFonts w:ascii="仿宋" w:eastAsia="仿宋" w:cs="仿宋" w:hAnsi="仿宋" w:hint="eastAsia"/>
          <w:b w:val="0"/>
          <w:bCs w:val="0"/>
          <w:sz w:val="32"/>
          <w:szCs w:val="32"/>
        </w:rPr>
        <w:t>年车辆购置预</w:t>
      </w:r>
      <w:r>
        <w:rPr>
          <w:rFonts w:ascii="仿宋" w:eastAsia="仿宋" w:cs="仿宋" w:hAnsi="仿宋" w:hint="eastAsia"/>
          <w:b w:val="0"/>
          <w:bCs w:val="0"/>
          <w:sz w:val="32"/>
          <w:szCs w:val="32"/>
          <w:lang w:eastAsia="zh-CN"/>
        </w:rPr>
        <w:t>决</w:t>
      </w:r>
      <w:r>
        <w:rPr>
          <w:rFonts w:ascii="仿宋" w:eastAsia="仿宋" w:cs="仿宋" w:hAnsi="仿宋" w:hint="eastAsia"/>
          <w:b w:val="0"/>
          <w:bCs w:val="0"/>
          <w:sz w:val="32"/>
          <w:szCs w:val="32"/>
        </w:rPr>
        <w:t>算。</w:t>
      </w:r>
    </w:p>
    <w:p>
      <w:pPr>
        <w:spacing w:line="560" w:lineRule="exact"/>
        <w:ind w:firstLineChars="200" w:firstLine="640"/>
        <w:rPr>
          <w:rFonts w:ascii="仿宋" w:eastAsia="仿宋" w:cs="仿宋" w:hAnsi="仿宋" w:hint="eastAsia"/>
          <w:b w:val="0"/>
          <w:bCs w:val="0"/>
          <w:sz w:val="32"/>
          <w:szCs w:val="32"/>
        </w:rPr>
      </w:pPr>
      <w:r>
        <w:rPr>
          <w:rFonts w:ascii="仿宋_GB2312" w:eastAsia="仿宋_GB2312" w:hint="eastAsia"/>
          <w:b w:val="0"/>
          <w:bCs w:val="0"/>
          <w:sz w:val="32"/>
          <w:szCs w:val="32"/>
          <w:lang w:eastAsia="zh-CN"/>
        </w:rPr>
        <w:t>（八）</w:t>
      </w:r>
      <w:r>
        <w:rPr>
          <w:rFonts w:ascii="仿宋_GB2312" w:eastAsia="仿宋_GB2312" w:hint="eastAsia"/>
          <w:b w:val="0"/>
          <w:bCs w:val="0"/>
          <w:sz w:val="32"/>
          <w:szCs w:val="32"/>
        </w:rPr>
        <w:t>关于绩效目标情况。</w:t>
      </w:r>
      <w:r>
        <w:rPr>
          <w:rFonts w:ascii="仿宋" w:eastAsia="仿宋" w:cs="仿宋" w:hAnsi="仿宋" w:hint="eastAsia"/>
          <w:b w:val="0"/>
          <w:bCs w:val="0"/>
          <w:sz w:val="32"/>
          <w:szCs w:val="32"/>
        </w:rPr>
        <w:t>本部门纳入预算绩效目标的项目数量和金额，以及编制绩效目标的项目覆盖率。</w:t>
      </w:r>
    </w:p>
    <w:p>
      <w:pPr>
        <w:ind w:left="0" w:firstLineChars="200" w:firstLine="640"/>
        <w:jc w:val="both"/>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（九）省卫生健康委预决算批复表。一般公共预算支出情况表公开到功能分类项级科目，一般公共预算基本支出表公开到经济分类款级科目。</w:t>
      </w:r>
    </w:p>
    <w:p>
      <w:pPr>
        <w:ind w:left="0" w:firstLineChars="200" w:firstLine="640"/>
        <w:jc w:val="both"/>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（十）对专业性较强的名词进行解释。</w:t>
      </w:r>
    </w:p>
    <w:p>
      <w:pPr>
        <w:jc w:val="center"/>
        <w:rPr>
          <w:rFonts w:ascii="黑体" w:eastAsia="黑体" w:cs="黑体" w:hAnsi="黑体" w:hint="eastAsia"/>
          <w:sz w:val="32"/>
          <w:szCs w:val="32"/>
          <w:lang w:val="en-US" w:eastAsia="zh-CN"/>
        </w:rPr>
      </w:pPr>
      <w:r>
        <w:rPr>
          <w:rFonts w:ascii="黑体" w:eastAsia="黑体" w:cs="黑体" w:hAnsi="黑体" w:hint="eastAsia"/>
          <w:sz w:val="32"/>
          <w:szCs w:val="32"/>
          <w:lang w:val="en-US" w:eastAsia="zh-CN"/>
        </w:rPr>
        <w:t>第四章  公开方式和程序</w:t>
      </w:r>
    </w:p>
    <w:p>
      <w:pPr>
        <w:ind w:left="0" w:firstLineChars="200" w:firstLine="640"/>
        <w:jc w:val="both"/>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第七条  预决算信息</w:t>
      </w:r>
      <w:r>
        <w:rPr>
          <w:rFonts w:ascii="仿宋" w:eastAsia="仿宋" w:cs="仿宋" w:hAnsi="仿宋" w:hint="eastAsia"/>
          <w:sz w:val="32"/>
          <w:szCs w:val="32"/>
        </w:rPr>
        <w:t>于省财政厅批复年</w:t>
      </w:r>
      <w:r>
        <w:rPr>
          <w:rFonts w:ascii="仿宋" w:eastAsia="仿宋" w:cs="仿宋" w:hAnsi="仿宋" w:hint="eastAsia"/>
          <w:sz w:val="32"/>
          <w:szCs w:val="32"/>
          <w:lang w:eastAsia="zh-CN"/>
        </w:rPr>
        <w:t>度</w:t>
      </w:r>
      <w:r>
        <w:rPr>
          <w:rFonts w:ascii="仿宋" w:eastAsia="仿宋" w:cs="仿宋" w:hAnsi="仿宋" w:hint="eastAsia"/>
          <w:sz w:val="32"/>
          <w:szCs w:val="32"/>
        </w:rPr>
        <w:t>部门预</w:t>
      </w:r>
      <w:r>
        <w:rPr>
          <w:rFonts w:ascii="仿宋" w:eastAsia="仿宋" w:cs="仿宋" w:hAnsi="仿宋" w:hint="eastAsia"/>
          <w:sz w:val="32"/>
          <w:szCs w:val="32"/>
          <w:lang w:eastAsia="zh-CN"/>
        </w:rPr>
        <w:t>决</w:t>
      </w:r>
      <w:r>
        <w:rPr>
          <w:rFonts w:ascii="仿宋" w:eastAsia="仿宋" w:cs="仿宋" w:hAnsi="仿宋" w:hint="eastAsia"/>
          <w:sz w:val="32"/>
          <w:szCs w:val="32"/>
        </w:rPr>
        <w:t>算后二十日内，</w:t>
      </w:r>
      <w:r>
        <w:rPr>
          <w:rFonts w:ascii="仿宋" w:eastAsia="仿宋" w:cs="仿宋" w:hAnsi="仿宋" w:hint="eastAsia"/>
          <w:sz w:val="32"/>
          <w:szCs w:val="32"/>
          <w:lang w:eastAsia="zh-CN"/>
        </w:rPr>
        <w:t>分别</w:t>
      </w:r>
      <w:r>
        <w:rPr>
          <w:rFonts w:ascii="仿宋" w:eastAsia="仿宋" w:cs="仿宋" w:hAnsi="仿宋" w:hint="eastAsia"/>
          <w:sz w:val="32"/>
          <w:szCs w:val="32"/>
          <w:lang w:val="en-US" w:eastAsia="zh-CN"/>
        </w:rPr>
        <w:t>在本部门网站和省政府门户网站设立的“预决算公开”专栏公开本部门预决算信息，并保持长期公开状态。</w:t>
      </w:r>
    </w:p>
    <w:p>
      <w:pPr>
        <w:jc w:val="center"/>
        <w:rPr>
          <w:rFonts w:ascii="黑体" w:eastAsia="黑体" w:cs="黑体" w:hAnsi="黑体" w:hint="eastAsia"/>
          <w:sz w:val="32"/>
          <w:szCs w:val="32"/>
          <w:lang w:val="en-US" w:eastAsia="zh-CN"/>
        </w:rPr>
      </w:pPr>
      <w:r>
        <w:rPr>
          <w:rFonts w:ascii="黑体" w:eastAsia="黑体" w:cs="黑体" w:hAnsi="黑体" w:hint="eastAsia"/>
          <w:sz w:val="32"/>
          <w:szCs w:val="32"/>
          <w:lang w:val="en-US" w:eastAsia="zh-CN"/>
        </w:rPr>
        <w:t>第五章  监督管理</w:t>
      </w:r>
    </w:p>
    <w:p>
      <w:pPr>
        <w:ind w:left="0" w:firstLine="640"/>
        <w:jc w:val="both"/>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第八条  严格按照《中华人民共和国</w:t>
      </w:r>
      <w:r>
        <w:rPr>
          <w:rFonts w:ascii="仿宋" w:eastAsia="仿宋" w:cs="仿宋" w:hAnsi="仿宋"/>
          <w:sz w:val="32"/>
          <w:szCs w:val="32"/>
          <w:lang w:val="en-US" w:eastAsia="zh-CN"/>
        </w:rPr>
        <w:t>保守国家秘密</w:t>
      </w:r>
      <w:bookmarkStart w:id="0" w:name="_GoBack"/>
      <w:bookmarkEnd w:id="0"/>
      <w:r>
        <w:rPr>
          <w:rFonts w:ascii="仿宋" w:eastAsia="仿宋" w:cs="仿宋" w:hAnsi="仿宋" w:hint="eastAsia"/>
          <w:sz w:val="32"/>
          <w:szCs w:val="32"/>
          <w:lang w:val="en-US" w:eastAsia="zh-CN"/>
        </w:rPr>
        <w:t>法》以及其他法律法规和有关规定，做好预决算信息公开的保密审查工作。</w:t>
      </w:r>
    </w:p>
    <w:p>
      <w:pPr>
        <w:ind w:left="0" w:firstLine="640"/>
        <w:jc w:val="both"/>
        <w:rPr>
          <w:rFonts w:ascii="仿宋_GB2312" w:eastAsia="仿宋_GB2312" w:hint="eastAsia"/>
          <w:sz w:val="32"/>
          <w:szCs w:val="32"/>
          <w:lang w:eastAsia="zh-CN"/>
        </w:rPr>
      </w:pPr>
      <w:r>
        <w:rPr>
          <w:rFonts w:ascii="仿宋" w:eastAsia="仿宋" w:cs="仿宋" w:hAnsi="仿宋" w:hint="eastAsia"/>
          <w:sz w:val="32"/>
          <w:szCs w:val="32"/>
          <w:lang w:val="en-US" w:eastAsia="zh-CN"/>
        </w:rPr>
        <w:t xml:space="preserve">第九条  </w:t>
      </w:r>
      <w:r>
        <w:rPr>
          <w:rFonts w:ascii="仿宋_GB2312" w:eastAsia="仿宋_GB2312" w:hint="eastAsia"/>
          <w:sz w:val="32"/>
          <w:szCs w:val="32"/>
        </w:rPr>
        <w:t>对</w:t>
      </w:r>
      <w:r>
        <w:rPr>
          <w:rFonts w:ascii="仿宋_GB2312" w:eastAsia="仿宋_GB2312" w:hint="eastAsia"/>
          <w:sz w:val="32"/>
          <w:szCs w:val="32"/>
          <w:lang w:eastAsia="zh-CN"/>
        </w:rPr>
        <w:t>预决算信息</w:t>
      </w:r>
      <w:r>
        <w:rPr>
          <w:rFonts w:ascii="仿宋_GB2312" w:eastAsia="仿宋_GB2312" w:hint="eastAsia"/>
          <w:sz w:val="32"/>
          <w:szCs w:val="32"/>
        </w:rPr>
        <w:t>公开后的反应进行预判，做好应对预案；公开后，要跟踪舆情，主动引导，及时解疑释惑，避免公众误解</w:t>
      </w:r>
      <w:r>
        <w:rPr>
          <w:rFonts w:ascii="仿宋_GB2312" w:eastAsia="仿宋_GB2312" w:hint="eastAsia"/>
          <w:sz w:val="32"/>
          <w:szCs w:val="32"/>
          <w:lang w:eastAsia="zh-CN"/>
        </w:rPr>
        <w:t>。</w:t>
      </w:r>
    </w:p>
    <w:p>
      <w:pPr>
        <w:ind w:left="0" w:firstLine="640"/>
        <w:jc w:val="both"/>
        <w:rPr>
          <w:rFonts w:ascii="仿宋_GB2312" w:eastAsia="仿宋_GB2312" w:hint="eastAsia"/>
          <w:sz w:val="32"/>
          <w:szCs w:val="32"/>
          <w:lang w:val="en-US" w:eastAsia="zh-CN"/>
        </w:rPr>
      </w:pPr>
      <w:r>
        <w:rPr>
          <w:rFonts w:ascii="仿宋_GB2312" w:eastAsia="仿宋_GB2312" w:hint="eastAsia"/>
          <w:sz w:val="32"/>
          <w:szCs w:val="32"/>
          <w:lang w:eastAsia="zh-CN"/>
        </w:rPr>
        <w:t>第十条</w:t>
      </w:r>
      <w:r>
        <w:rPr>
          <w:rFonts w:ascii="仿宋_GB2312" w:eastAsia="仿宋_GB2312" w:hint="eastAsia"/>
          <w:sz w:val="32"/>
          <w:szCs w:val="32"/>
          <w:lang w:val="en-US" w:eastAsia="zh-CN"/>
        </w:rPr>
        <w:t xml:space="preserve">  省卫生健康委预决算信息公开工作接受行业主管部门以及社会各界的指导和监督。</w:t>
      </w:r>
    </w:p>
    <w:p>
      <w:pPr>
        <w:jc w:val="center"/>
        <w:rPr>
          <w:rFonts w:ascii="黑体" w:eastAsia="黑体" w:cs="黑体" w:hAnsi="黑体" w:hint="eastAsia"/>
          <w:sz w:val="32"/>
          <w:szCs w:val="32"/>
          <w:lang w:val="en-US" w:eastAsia="zh-CN"/>
        </w:rPr>
      </w:pPr>
      <w:r>
        <w:rPr>
          <w:rFonts w:ascii="黑体" w:eastAsia="黑体" w:cs="黑体" w:hAnsi="黑体" w:hint="eastAsia"/>
          <w:sz w:val="32"/>
          <w:szCs w:val="32"/>
          <w:lang w:eastAsia="zh-CN"/>
        </w:rPr>
        <w:t>第六章</w:t>
      </w:r>
      <w:r>
        <w:rPr>
          <w:rFonts w:ascii="黑体" w:eastAsia="黑体" w:cs="黑体" w:hAnsi="黑体" w:hint="eastAsia"/>
          <w:sz w:val="32"/>
          <w:szCs w:val="32"/>
          <w:lang w:val="en-US" w:eastAsia="zh-CN"/>
        </w:rPr>
        <w:t xml:space="preserve">  附 则</w:t>
      </w:r>
    </w:p>
    <w:p>
      <w:pPr>
        <w:jc w:val="both"/>
        <w:rPr>
          <w:rFonts w:ascii="仿宋_GB2312" w:eastAsia="仿宋_GB2312" w:hint="eastAsia"/>
          <w:sz w:val="32"/>
          <w:szCs w:val="32"/>
          <w:lang w:val="en-US" w:eastAsia="zh-CN"/>
        </w:rPr>
      </w:pPr>
      <w:r>
        <w:rPr>
          <w:rFonts w:ascii="仿宋_GB2312" w:eastAsia="仿宋_GB2312" w:hint="eastAsia"/>
          <w:sz w:val="32"/>
          <w:szCs w:val="32"/>
          <w:lang w:val="en-US" w:eastAsia="zh-CN"/>
        </w:rPr>
        <w:t xml:space="preserve">    第十一条  本办法自印发之日起实行。</w:t>
      </w: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jc w:val="center"/>
        <w:rPr>
          <w:rFonts w:ascii="宋体" w:hAnsi="宋体" w:hint="eastAsia"/>
          <w:b/>
          <w:sz w:val="36"/>
          <w:szCs w:val="36"/>
        </w:rPr>
      </w:pPr>
    </w:p>
    <w:p>
      <w:pPr>
        <w:spacing w:line="560" w:lineRule="exact"/>
        <w:jc w:val="center"/>
        <w:rPr>
          <w:rFonts w:ascii="黑体" w:eastAsia="黑体"/>
          <w:sz w:val="32"/>
          <w:szCs w:val="32"/>
        </w:rPr>
      </w:pPr>
      <w:r>
        <w:rPr>
          <w:rFonts w:ascii="宋体" w:hAnsi="宋体" w:hint="eastAsia"/>
          <w:b/>
          <w:sz w:val="36"/>
          <w:szCs w:val="36"/>
        </w:rPr>
        <w:t>第</w:t>
      </w:r>
      <w:r>
        <w:rPr>
          <w:rFonts w:ascii="宋体" w:hAnsi="宋体" w:hint="eastAsia"/>
          <w:b/>
          <w:sz w:val="36"/>
          <w:szCs w:val="36"/>
          <w:lang w:eastAsia="zh-CN"/>
        </w:rPr>
        <w:t>二</w:t>
      </w:r>
      <w:r>
        <w:rPr>
          <w:rFonts w:ascii="宋体" w:hAnsi="宋体" w:hint="eastAsia"/>
          <w:b/>
          <w:sz w:val="36"/>
          <w:szCs w:val="36"/>
        </w:rPr>
        <w:t xml:space="preserve">部分 </w:t>
      </w:r>
      <w:r>
        <w:rPr>
          <w:rFonts w:ascii="宋体" w:hAnsi="宋体" w:hint="eastAsia"/>
          <w:b/>
          <w:sz w:val="36"/>
          <w:szCs w:val="36"/>
          <w:lang w:eastAsia="zh-CN"/>
        </w:rPr>
        <w:t>辽宁省卫生健康委员会</w:t>
      </w:r>
      <w:r>
        <w:rPr>
          <w:rFonts w:ascii="宋体" w:hAnsi="宋体" w:hint="eastAsia"/>
          <w:b/>
          <w:sz w:val="36"/>
          <w:szCs w:val="36"/>
        </w:rPr>
        <w:t>概况</w:t>
      </w:r>
    </w:p>
    <w:p>
      <w:pPr>
        <w:spacing w:line="560" w:lineRule="exact"/>
        <w:ind w:firstLineChars="200" w:firstLine="640"/>
        <w:jc w:val="left"/>
        <w:rPr>
          <w:rFonts w:ascii="黑体" w:eastAsia="黑体"/>
          <w:sz w:val="32"/>
          <w:szCs w:val="32"/>
        </w:rPr>
      </w:pPr>
      <w:r>
        <w:rPr>
          <w:rFonts w:ascii="黑体" w:eastAsia="黑体" w:hint="eastAsia"/>
          <w:sz w:val="32"/>
          <w:szCs w:val="32"/>
        </w:rPr>
        <w:t>一、部门职责</w:t>
      </w:r>
    </w:p>
    <w:p>
      <w:pPr>
        <w:spacing w:line="560" w:lineRule="exact"/>
        <w:ind w:firstLineChars="200" w:firstLine="640"/>
        <w:jc w:val="left"/>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一）贯彻落实国家关于国民健康的政策、卫生健康和中医药事业发展的法律法规、政策、规划，拟订辽宁省相关政策、规划并组织实施，起草有关地方性法规、标准和省政府规章草案。统筹规划卫生健康资源配置，指导区城卫生健康规划的编制和实施。制定并组织实施推进卫生健康基本公共服务均等化、普惠化、便捷化和公共资源向基层延仲等政策措施。</w:t>
      </w:r>
    </w:p>
    <w:p>
      <w:pPr>
        <w:spacing w:line="560" w:lineRule="exact"/>
        <w:ind w:left="0" w:firstLine="0"/>
        <w:jc w:val="left"/>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　　（二）协调推进深化医药卫生体制改革，研究提出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    </w:t>
      </w:r>
    </w:p>
    <w:p>
      <w:pPr>
        <w:spacing w:line="560" w:lineRule="exact"/>
        <w:ind w:left="0" w:firstLine="0"/>
        <w:jc w:val="left"/>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　　（三）制定并组织落实疾病预防控制规划、免疫规划以及严重危害人民健康公共卫生问题的干预措施。负责卫生应急工作，组织指导突发公共卫生事件的预防控制、应急处置和各类突发公共事件的医疗卫生救援。</w:t>
      </w:r>
    </w:p>
    <w:p>
      <w:pPr>
        <w:spacing w:line="560" w:lineRule="exact"/>
        <w:ind w:left="0" w:firstLine="0"/>
        <w:jc w:val="left"/>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　　（四）组织拟订并协调落实应对人口老龄化政策措施，负责推进老年健康服务体系建设和医养结合工作。</w:t>
      </w:r>
    </w:p>
    <w:p>
      <w:pPr>
        <w:spacing w:line="560" w:lineRule="exact"/>
        <w:ind w:left="0" w:firstLine="0"/>
        <w:jc w:val="left"/>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　　（五）组织实施国家基本药物制度，组织拟订全省药物使用等政策措施，开展药品使用监测、临床综合评价和短缺药品预警，落实国家基本药物价格政策。组织开展食品安全风险监测评估，依法制定并公布食品安全地方标准。</w:t>
      </w:r>
    </w:p>
    <w:p>
      <w:pPr>
        <w:spacing w:line="560" w:lineRule="exact"/>
        <w:ind w:left="0" w:firstLine="0"/>
        <w:jc w:val="left"/>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　　（六）负责职责范围内的职业卫生、放射卫生、环境卫生、学校卫生、公共场所卫生、饮用水卫生等公共卫生的监督管理，负责传染病防治监督，健全卫生健康综合监督体系。牵头承担《烟草控制框架公约》履约相关工作。</w:t>
      </w:r>
    </w:p>
    <w:p>
      <w:pPr>
        <w:spacing w:line="560" w:lineRule="exact"/>
        <w:ind w:left="0" w:firstLine="0"/>
        <w:jc w:val="left"/>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　　（七）制定医疗机构、医疗服务行业管理办法并监督实施，建立医疗服务评价和监督管理体系。会同有关部门制定并实施卫生健康专业技术人员资格标准。制定并组织实施医疗服务规范、标准和卫生健康专业技术人员执业规则、服务规范。</w:t>
      </w:r>
    </w:p>
    <w:p>
      <w:pPr>
        <w:spacing w:line="560" w:lineRule="exact"/>
        <w:ind w:left="0" w:firstLine="0"/>
        <w:jc w:val="left"/>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　　（八）负责计划生育管理和服务工作，开展人口监测，研究提出人口与家庭发展相关政策建议，组织实施计划生育相关政策。</w:t>
      </w:r>
    </w:p>
    <w:p>
      <w:pPr>
        <w:spacing w:line="560" w:lineRule="exact"/>
        <w:ind w:left="0" w:firstLine="0"/>
        <w:jc w:val="left"/>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　　（九）指导地方卫生健康工作，指导基层医疗卫生、妇幼健康服务体系和全科医生队伍建设。推进卫生健康科技新发展。</w:t>
      </w:r>
    </w:p>
    <w:p>
      <w:pPr>
        <w:spacing w:line="560" w:lineRule="exact"/>
        <w:ind w:left="0" w:firstLine="0"/>
        <w:jc w:val="left"/>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　　（十）组织拟订中医药发展规划和技术规范，负责中医类医疗机构和中医医疗、预防保健、康复、护理及临床用药等监督管理，组织实施中医药专业技术人员准入、资格标准，指导中医药教育、人才培养和科学研究，组织实施中医药健康服务相关工作，促进中医药文化传承发展，开展中医药防病治病知识宣传普及，推动中医药海外发展，参与拟订中药产业发展规划、产业政策，开展中药资源普查，促进中药资源的保护、开发和合理利用。</w:t>
      </w:r>
    </w:p>
    <w:p>
      <w:pPr>
        <w:spacing w:line="560" w:lineRule="exact"/>
        <w:ind w:left="0" w:firstLine="0"/>
        <w:jc w:val="left"/>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　　（十一）负责省确定的保健对象的医疗保健管理工作、负责省重要会议与重大活动的医疗卫生保障工作。</w:t>
      </w:r>
    </w:p>
    <w:p>
      <w:pPr>
        <w:spacing w:line="560" w:lineRule="exact"/>
        <w:ind w:left="0" w:firstLine="0"/>
        <w:jc w:val="left"/>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　　（十二）完成省委、省政府交办的其他任务。</w:t>
      </w:r>
    </w:p>
    <w:p>
      <w:pPr>
        <w:spacing w:line="560" w:lineRule="exact"/>
        <w:ind w:left="0" w:firstLine="0"/>
        <w:jc w:val="left"/>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　　（十三）职能转变。省卫生健康委员会应当牢固树立大卫生、大健康理念，推动实施健康中国战略，以改革创新为动力，以促健康、转模式、强基层、重保障为着力点，把以治病为中心转变到以人民健康为中心，为人民群众提供全方位全周期健康服务。一是更加注重预防为主和健康促进。加强预防控制重大疾病工作，积极应对人口老龄化，健全健康服务体系。二是更加注重工作重心下移和资源下沉。推进卫生健康公共资源向基层延伸、向农村覆盖、向边远地区和生活困难群众倾斜。三是更加注重提高服务质量和水平。推进卫生健康基本公共服务均等化、普惠化、便捷化，四是协调推进深化医药卫生体制改革。加大公立医院改革力度，推进管办分离，推动卫生健康公共服务提供主体多元化、提供方式多样化。</w:t>
      </w:r>
    </w:p>
    <w:p>
      <w:pPr>
        <w:spacing w:line="560" w:lineRule="exact"/>
        <w:ind w:left="0" w:firstLine="0"/>
        <w:jc w:val="left"/>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　　（十四）有关职责分工</w:t>
      </w:r>
    </w:p>
    <w:p>
      <w:pPr>
        <w:spacing w:line="560" w:lineRule="exact"/>
        <w:ind w:left="0" w:firstLine="0"/>
        <w:jc w:val="left"/>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　　1．与省发展和改革委员会的有关职责分工。省卫生健康委员会负责开展人口监测预警工作，实施生育政策，研究提出与生育相关的人口数量、素质、结构、分布方面的政策建议，促进生育政策和相关经济社会政策配套衔接，参与制定人口发展规划和政策，落实全省人口发展规划中的有关任务。省发展和改革委员会负责组织监测和评估人口变动情况及趋势影响，建立人口预测预报制度，开展重大决策人口影响评估，完善重大人口政策咨询机制，研究提出全省人口发展战略，拟订人口发展规划和人口政策，研究提出人口与经济、社会、资源、环境协调可持续发展，以及统筹促进人口长期均衡发展的政策建议。</w:t>
      </w:r>
    </w:p>
    <w:p>
      <w:pPr>
        <w:spacing w:line="560" w:lineRule="exact"/>
        <w:ind w:left="0" w:firstLine="0"/>
        <w:jc w:val="left"/>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　　2．与省民政厅的有关职责分工。省卫生健康委员会负责拟订应对人口老龄化、医养结合政策措施，综合协调、督人医疗照护、老年人心理健康与关怀服务等老年健康工作。省民政厅负责统筹推进、督促指导、监督管理养老服务工作，拟订养老服务体系建设规划、法规、政策、标准并组织实施，承担老年人福利和特殊困难老年人救助工作。</w:t>
      </w:r>
    </w:p>
    <w:p>
      <w:pPr>
        <w:spacing w:line="560" w:lineRule="exact"/>
        <w:ind w:left="0" w:firstLine="0"/>
        <w:jc w:val="left"/>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　　3．与海关部门的有关职责分工。省卫生健康委员会负责全省传染病总体防治与突发公共卫生事件应急工作。省卫生健康委员会与海关部门建立健全应对口岸传染病疫情和公共卫生事件合作机制、传染病疫情和公共卫生事件通报交流机制、口岸输入性疫情通报和协作处理机制。</w:t>
      </w:r>
    </w:p>
    <w:p>
      <w:pPr>
        <w:spacing w:line="560" w:lineRule="exact"/>
        <w:ind w:left="0" w:firstLine="0"/>
        <w:jc w:val="left"/>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　　4．与省市场监督管理局的有关职责分工。省卫生健康委员会负责食品安全风险评估工作，会同省市场监督管理局等部门制定、实施食品安全风险监测计划。省卫生健康委员会对通过食品安全风险监测或者接到举报发现食品可能存在安全隐患的，应当立即组织进行检验和食品安全风险评佔并及时向省市场监督管理局等部门通报食品安全风险评佔结果，对得出不安全结论的食品，省市场监督管理局等部门应当立即采取措施。省市场监督管理局等部门在监督管理工作中发现需要进行食品安全风险评估的，应当及时向省卫生健康委员会提出建议。</w:t>
      </w:r>
    </w:p>
    <w:p>
      <w:pPr>
        <w:spacing w:line="560" w:lineRule="exact"/>
        <w:ind w:left="0" w:firstLine="0"/>
        <w:jc w:val="left"/>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　　5．与省医疗保障局的有关职责分工。省卫生健康委员会、省医疗保障局等部门在医疗、医保、医药等方面加强制度、政策衔接，建立沟通协商机制，协同推进改革，提高医疗资源使用效率和医疗保障水平。</w:t>
      </w:r>
    </w:p>
    <w:p>
      <w:pPr>
        <w:spacing w:line="560" w:lineRule="exact"/>
        <w:ind w:left="0" w:firstLine="0"/>
        <w:jc w:val="left"/>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　　6．与省药品监督管理局的有关职责分工。省药品监督管理局会同省卫生健康委员会建立重大药品不良反应和医疗器械不良事件相互通报机制和联合处置机制。</w:t>
      </w:r>
    </w:p>
    <w:p>
      <w:pPr>
        <w:spacing w:line="560" w:lineRule="exact"/>
        <w:ind w:firstLineChars="200" w:firstLine="640"/>
        <w:jc w:val="left"/>
        <w:rPr>
          <w:rFonts w:ascii="黑体" w:eastAsia="黑体"/>
          <w:sz w:val="32"/>
          <w:szCs w:val="32"/>
        </w:rPr>
      </w:pPr>
      <w:r>
        <w:rPr>
          <w:rFonts w:ascii="黑体" w:eastAsia="黑体" w:hint="eastAsia"/>
          <w:sz w:val="32"/>
          <w:szCs w:val="32"/>
        </w:rPr>
        <w:t>二、机构设置</w:t>
      </w:r>
    </w:p>
    <w:p>
      <w:pPr>
        <w:spacing w:line="560" w:lineRule="exact"/>
        <w:ind w:firstLineChars="200" w:firstLine="640"/>
        <w:jc w:val="left"/>
        <w:rPr>
          <w:rFonts w:ascii="仿宋_GB2312" w:eastAsia="仿宋_GB2312"/>
          <w:b/>
          <w:sz w:val="32"/>
          <w:szCs w:val="32"/>
        </w:rPr>
      </w:pPr>
      <w:r>
        <w:rPr>
          <w:rFonts w:ascii="仿宋_GB2312" w:eastAsia="仿宋_GB2312" w:hint="eastAsia"/>
          <w:b/>
          <w:sz w:val="32"/>
          <w:szCs w:val="32"/>
        </w:rPr>
        <w:t>纳入</w:t>
      </w:r>
      <w:r>
        <w:rPr>
          <w:rFonts w:ascii="仿宋_GB2312" w:eastAsia="仿宋_GB2312" w:hint="eastAsia"/>
          <w:b/>
          <w:sz w:val="32"/>
          <w:szCs w:val="32"/>
          <w:lang w:eastAsia="zh-CN"/>
        </w:rPr>
        <w:t>辽宁省卫生健康委员会</w:t>
      </w:r>
      <w:r>
        <w:rPr>
          <w:rFonts w:ascii="仿宋_GB2312" w:eastAsia="仿宋_GB2312" w:hint="eastAsia"/>
          <w:b/>
          <w:sz w:val="32"/>
          <w:szCs w:val="32"/>
        </w:rPr>
        <w:t>201</w:t>
      </w:r>
      <w:r>
        <w:rPr>
          <w:rFonts w:ascii="仿宋_GB2312" w:eastAsia="仿宋_GB2312" w:hint="eastAsia"/>
          <w:b/>
          <w:sz w:val="32"/>
          <w:szCs w:val="32"/>
          <w:lang w:val="en-US" w:eastAsia="zh-CN"/>
        </w:rPr>
        <w:t>9</w:t>
      </w:r>
      <w:r>
        <w:rPr>
          <w:rFonts w:ascii="仿宋_GB2312" w:eastAsia="仿宋_GB2312" w:hint="eastAsia"/>
          <w:b/>
          <w:sz w:val="32"/>
          <w:szCs w:val="32"/>
        </w:rPr>
        <w:t>年部门预算编制范围的二级预算单位包括：</w:t>
      </w:r>
    </w:p>
    <w:p>
      <w:pPr>
        <w:ind w:left="0" w:firstLineChars="200" w:firstLine="640"/>
        <w:jc w:val="both"/>
        <w:rPr>
          <w:rFonts w:ascii="华文仿宋" w:eastAsia="华文仿宋" w:cs="华文仿宋" w:hAnsi="华文仿宋" w:hint="eastAsia"/>
          <w:i w:val="0"/>
          <w:color w:val="000000"/>
          <w:kern w:val="0"/>
          <w:sz w:val="32"/>
          <w:szCs w:val="32"/>
          <w:u w:val="none"/>
          <w:lang w:val="en-US" w:eastAsia="zh-CN"/>
        </w:rPr>
      </w:pPr>
      <w:r>
        <w:rPr>
          <w:rFonts w:ascii="华文仿宋" w:eastAsia="华文仿宋" w:cs="华文仿宋" w:hAnsi="华文仿宋" w:hint="eastAsia"/>
          <w:i w:val="0"/>
          <w:color w:val="000000"/>
          <w:kern w:val="0"/>
          <w:sz w:val="32"/>
          <w:szCs w:val="32"/>
          <w:u w:val="none"/>
          <w:lang w:val="en-US" w:eastAsia="zh-CN"/>
        </w:rPr>
        <w:t>1、辽宁省人民医院附设卫生学校</w:t>
      </w:r>
    </w:p>
    <w:p>
      <w:pPr>
        <w:ind w:left="0" w:firstLineChars="200" w:firstLine="640"/>
        <w:jc w:val="both"/>
        <w:rPr>
          <w:rFonts w:ascii="华文仿宋" w:eastAsia="华文仿宋" w:cs="华文仿宋" w:hAnsi="华文仿宋" w:hint="eastAsia"/>
          <w:i w:val="0"/>
          <w:color w:val="000000"/>
          <w:kern w:val="0"/>
          <w:sz w:val="32"/>
          <w:szCs w:val="32"/>
          <w:u w:val="none"/>
          <w:lang w:val="en-US" w:eastAsia="zh-CN"/>
        </w:rPr>
      </w:pPr>
      <w:r>
        <w:rPr>
          <w:rFonts w:ascii="华文仿宋" w:eastAsia="华文仿宋" w:cs="华文仿宋" w:hAnsi="华文仿宋" w:hint="eastAsia"/>
          <w:i w:val="0"/>
          <w:color w:val="000000"/>
          <w:kern w:val="0"/>
          <w:sz w:val="32"/>
          <w:szCs w:val="32"/>
          <w:u w:val="none"/>
          <w:lang w:val="en-US" w:eastAsia="zh-CN"/>
        </w:rPr>
        <w:t>2、辽宁省人民医院</w:t>
      </w:r>
    </w:p>
    <w:p>
      <w:pPr>
        <w:ind w:left="0" w:firstLineChars="200" w:firstLine="640"/>
        <w:jc w:val="both"/>
        <w:rPr>
          <w:rFonts w:ascii="华文仿宋" w:eastAsia="华文仿宋" w:cs="华文仿宋" w:hAnsi="华文仿宋" w:hint="eastAsia"/>
          <w:i w:val="0"/>
          <w:color w:val="000000"/>
          <w:kern w:val="0"/>
          <w:sz w:val="32"/>
          <w:szCs w:val="32"/>
          <w:u w:val="none"/>
          <w:lang w:val="en-US" w:eastAsia="zh-CN"/>
        </w:rPr>
      </w:pPr>
      <w:r>
        <w:rPr>
          <w:rFonts w:ascii="华文仿宋" w:eastAsia="华文仿宋" w:cs="华文仿宋" w:hAnsi="华文仿宋" w:hint="eastAsia"/>
          <w:i w:val="0"/>
          <w:color w:val="000000"/>
          <w:kern w:val="0"/>
          <w:sz w:val="32"/>
          <w:szCs w:val="32"/>
          <w:u w:val="none"/>
          <w:lang w:val="en-US" w:eastAsia="zh-CN"/>
        </w:rPr>
        <w:t>3、辽宁省金秋医院</w:t>
      </w:r>
    </w:p>
    <w:p>
      <w:pPr>
        <w:ind w:left="0" w:firstLineChars="200" w:firstLine="640"/>
        <w:jc w:val="both"/>
        <w:rPr>
          <w:rFonts w:ascii="华文仿宋" w:eastAsia="华文仿宋" w:cs="华文仿宋" w:hAnsi="华文仿宋" w:hint="eastAsia"/>
          <w:i w:val="0"/>
          <w:color w:val="000000"/>
          <w:kern w:val="0"/>
          <w:sz w:val="32"/>
          <w:szCs w:val="32"/>
          <w:u w:val="none"/>
          <w:lang w:val="en-US" w:eastAsia="zh-CN"/>
        </w:rPr>
      </w:pPr>
      <w:r>
        <w:rPr>
          <w:rFonts w:ascii="华文仿宋" w:eastAsia="华文仿宋" w:cs="华文仿宋" w:hAnsi="华文仿宋" w:hint="eastAsia"/>
          <w:i w:val="0"/>
          <w:color w:val="000000"/>
          <w:kern w:val="0"/>
          <w:sz w:val="32"/>
          <w:szCs w:val="32"/>
          <w:u w:val="none"/>
          <w:lang w:val="en-US" w:eastAsia="zh-CN"/>
        </w:rPr>
        <w:t>4、辽宁省肿瘤医院</w:t>
      </w:r>
    </w:p>
    <w:p>
      <w:pPr>
        <w:ind w:left="0" w:firstLineChars="200" w:firstLine="640"/>
        <w:jc w:val="both"/>
        <w:rPr>
          <w:rFonts w:ascii="华文仿宋" w:eastAsia="华文仿宋" w:cs="华文仿宋" w:hAnsi="华文仿宋" w:hint="eastAsia"/>
          <w:i w:val="0"/>
          <w:color w:val="000000"/>
          <w:kern w:val="0"/>
          <w:sz w:val="32"/>
          <w:szCs w:val="32"/>
          <w:u w:val="none"/>
          <w:lang w:val="en-US" w:eastAsia="zh-CN"/>
        </w:rPr>
      </w:pPr>
      <w:r>
        <w:rPr>
          <w:rFonts w:ascii="华文仿宋" w:eastAsia="华文仿宋" w:cs="华文仿宋" w:hAnsi="华文仿宋" w:hint="eastAsia"/>
          <w:i w:val="0"/>
          <w:color w:val="000000"/>
          <w:kern w:val="0"/>
          <w:sz w:val="32"/>
          <w:szCs w:val="32"/>
          <w:u w:val="none"/>
          <w:lang w:val="en-US" w:eastAsia="zh-CN"/>
        </w:rPr>
        <w:t>5、大连医科大学附属第一医院</w:t>
      </w:r>
    </w:p>
    <w:p>
      <w:pPr>
        <w:ind w:left="0" w:firstLineChars="200" w:firstLine="640"/>
        <w:jc w:val="both"/>
        <w:rPr>
          <w:rFonts w:ascii="华文仿宋" w:eastAsia="华文仿宋" w:cs="华文仿宋" w:hAnsi="华文仿宋" w:hint="eastAsia"/>
          <w:i w:val="0"/>
          <w:color w:val="000000"/>
          <w:kern w:val="0"/>
          <w:sz w:val="32"/>
          <w:szCs w:val="32"/>
          <w:u w:val="none"/>
          <w:lang w:val="en-US" w:eastAsia="zh-CN"/>
        </w:rPr>
      </w:pPr>
      <w:r>
        <w:rPr>
          <w:rFonts w:ascii="华文仿宋" w:eastAsia="华文仿宋" w:cs="华文仿宋" w:hAnsi="华文仿宋" w:hint="eastAsia"/>
          <w:i w:val="0"/>
          <w:color w:val="000000"/>
          <w:kern w:val="0"/>
          <w:sz w:val="32"/>
          <w:szCs w:val="32"/>
          <w:u w:val="none"/>
          <w:lang w:val="en-US" w:eastAsia="zh-CN"/>
        </w:rPr>
        <w:t>6、大连医科大学附属第二医院</w:t>
      </w:r>
    </w:p>
    <w:p>
      <w:pPr>
        <w:ind w:left="0" w:firstLineChars="200" w:firstLine="640"/>
        <w:jc w:val="both"/>
        <w:rPr>
          <w:rFonts w:ascii="华文仿宋" w:eastAsia="华文仿宋" w:cs="华文仿宋" w:hAnsi="华文仿宋" w:hint="eastAsia"/>
          <w:i w:val="0"/>
          <w:color w:val="000000"/>
          <w:kern w:val="0"/>
          <w:sz w:val="32"/>
          <w:szCs w:val="32"/>
          <w:u w:val="none"/>
          <w:lang w:val="en-US" w:eastAsia="zh-CN"/>
        </w:rPr>
      </w:pPr>
      <w:r>
        <w:rPr>
          <w:rFonts w:ascii="华文仿宋" w:eastAsia="华文仿宋" w:cs="华文仿宋" w:hAnsi="华文仿宋" w:hint="eastAsia"/>
          <w:i w:val="0"/>
          <w:color w:val="000000"/>
          <w:kern w:val="0"/>
          <w:sz w:val="32"/>
          <w:szCs w:val="32"/>
          <w:u w:val="none"/>
          <w:lang w:val="en-US" w:eastAsia="zh-CN"/>
        </w:rPr>
        <w:t>7、锦州医科大学附属第一医院</w:t>
      </w:r>
    </w:p>
    <w:p>
      <w:pPr>
        <w:ind w:left="0" w:firstLineChars="200" w:firstLine="640"/>
        <w:jc w:val="both"/>
        <w:rPr>
          <w:rFonts w:ascii="华文仿宋" w:eastAsia="华文仿宋" w:cs="华文仿宋" w:hAnsi="华文仿宋" w:hint="eastAsia"/>
          <w:i w:val="0"/>
          <w:color w:val="000000"/>
          <w:kern w:val="0"/>
          <w:sz w:val="32"/>
          <w:szCs w:val="32"/>
          <w:u w:val="none"/>
          <w:lang w:val="en-US" w:eastAsia="zh-CN"/>
        </w:rPr>
      </w:pPr>
      <w:r>
        <w:rPr>
          <w:rFonts w:ascii="华文仿宋" w:eastAsia="华文仿宋" w:cs="华文仿宋" w:hAnsi="华文仿宋" w:hint="eastAsia"/>
          <w:i w:val="0"/>
          <w:color w:val="000000"/>
          <w:kern w:val="0"/>
          <w:sz w:val="32"/>
          <w:szCs w:val="32"/>
          <w:u w:val="none"/>
          <w:lang w:val="en-US" w:eastAsia="zh-CN"/>
        </w:rPr>
        <w:t>8、锦州医科大学附属第二医院</w:t>
      </w:r>
    </w:p>
    <w:p>
      <w:pPr>
        <w:ind w:left="0" w:firstLineChars="200" w:firstLine="640"/>
        <w:jc w:val="both"/>
        <w:rPr>
          <w:rFonts w:ascii="华文仿宋" w:eastAsia="华文仿宋" w:cs="华文仿宋" w:hAnsi="华文仿宋" w:hint="eastAsia"/>
          <w:i w:val="0"/>
          <w:color w:val="000000"/>
          <w:kern w:val="0"/>
          <w:sz w:val="32"/>
          <w:szCs w:val="32"/>
          <w:u w:val="none"/>
          <w:lang w:val="en-US" w:eastAsia="zh-CN"/>
        </w:rPr>
      </w:pPr>
      <w:r>
        <w:rPr>
          <w:rFonts w:ascii="华文仿宋" w:eastAsia="华文仿宋" w:cs="华文仿宋" w:hAnsi="华文仿宋" w:hint="eastAsia"/>
          <w:i w:val="0"/>
          <w:color w:val="000000"/>
          <w:kern w:val="0"/>
          <w:sz w:val="32"/>
          <w:szCs w:val="32"/>
          <w:u w:val="none"/>
          <w:lang w:val="en-US" w:eastAsia="zh-CN"/>
        </w:rPr>
        <w:t>9、辽宁省第三人民医院</w:t>
      </w:r>
    </w:p>
    <w:p>
      <w:pPr>
        <w:ind w:left="0" w:firstLineChars="200" w:firstLine="640"/>
        <w:jc w:val="both"/>
        <w:rPr>
          <w:rFonts w:ascii="华文仿宋" w:eastAsia="华文仿宋" w:cs="华文仿宋" w:hAnsi="华文仿宋" w:hint="eastAsia"/>
          <w:i w:val="0"/>
          <w:color w:val="000000"/>
          <w:kern w:val="0"/>
          <w:sz w:val="32"/>
          <w:szCs w:val="32"/>
          <w:u w:val="none"/>
          <w:lang w:val="en-US" w:eastAsia="zh-CN"/>
        </w:rPr>
      </w:pPr>
      <w:r>
        <w:rPr>
          <w:rFonts w:ascii="华文仿宋" w:eastAsia="华文仿宋" w:cs="华文仿宋" w:hAnsi="华文仿宋" w:hint="eastAsia"/>
          <w:i w:val="0"/>
          <w:color w:val="000000"/>
          <w:kern w:val="0"/>
          <w:sz w:val="32"/>
          <w:szCs w:val="32"/>
          <w:u w:val="none"/>
          <w:lang w:val="en-US" w:eastAsia="zh-CN"/>
        </w:rPr>
        <w:t>10、中国医科大学附属第四医院</w:t>
      </w:r>
    </w:p>
    <w:p>
      <w:pPr>
        <w:ind w:left="0" w:firstLineChars="200" w:firstLine="640"/>
        <w:jc w:val="both"/>
        <w:rPr>
          <w:rFonts w:ascii="华文仿宋" w:eastAsia="华文仿宋" w:cs="华文仿宋" w:hAnsi="华文仿宋" w:hint="eastAsia"/>
          <w:i w:val="0"/>
          <w:color w:val="000000"/>
          <w:kern w:val="0"/>
          <w:sz w:val="32"/>
          <w:szCs w:val="32"/>
          <w:u w:val="none"/>
          <w:lang w:val="en-US" w:eastAsia="zh-CN"/>
        </w:rPr>
      </w:pPr>
      <w:r>
        <w:rPr>
          <w:rFonts w:ascii="华文仿宋" w:eastAsia="华文仿宋" w:cs="华文仿宋" w:hAnsi="华文仿宋" w:hint="eastAsia"/>
          <w:i w:val="0"/>
          <w:color w:val="000000"/>
          <w:kern w:val="0"/>
          <w:sz w:val="32"/>
          <w:szCs w:val="32"/>
          <w:u w:val="none"/>
          <w:lang w:val="en-US" w:eastAsia="zh-CN"/>
        </w:rPr>
        <w:t>11、锦州医科大学附属第三医院</w:t>
      </w:r>
    </w:p>
    <w:p>
      <w:pPr>
        <w:ind w:left="0" w:firstLineChars="200" w:firstLine="640"/>
        <w:jc w:val="both"/>
        <w:rPr>
          <w:rFonts w:ascii="华文仿宋" w:eastAsia="华文仿宋" w:cs="华文仿宋" w:hAnsi="华文仿宋" w:hint="eastAsia"/>
          <w:i w:val="0"/>
          <w:color w:val="000000"/>
          <w:kern w:val="0"/>
          <w:sz w:val="32"/>
          <w:szCs w:val="32"/>
          <w:u w:val="none"/>
          <w:lang w:val="en-US" w:eastAsia="zh-CN"/>
        </w:rPr>
      </w:pPr>
      <w:r>
        <w:rPr>
          <w:rFonts w:ascii="华文仿宋" w:eastAsia="华文仿宋" w:cs="华文仿宋" w:hAnsi="华文仿宋" w:hint="eastAsia"/>
          <w:i w:val="0"/>
          <w:color w:val="000000"/>
          <w:kern w:val="0"/>
          <w:sz w:val="32"/>
          <w:szCs w:val="32"/>
          <w:u w:val="none"/>
          <w:lang w:val="en-US" w:eastAsia="zh-CN"/>
        </w:rPr>
        <w:t>12、辽宁中医药大学附属第四医院</w:t>
      </w:r>
    </w:p>
    <w:p>
      <w:pPr>
        <w:ind w:left="0" w:firstLineChars="200" w:firstLine="640"/>
        <w:jc w:val="both"/>
        <w:rPr>
          <w:rFonts w:ascii="华文仿宋" w:eastAsia="华文仿宋" w:cs="华文仿宋" w:hAnsi="华文仿宋" w:hint="eastAsia"/>
          <w:i w:val="0"/>
          <w:color w:val="000000"/>
          <w:kern w:val="0"/>
          <w:sz w:val="32"/>
          <w:szCs w:val="32"/>
          <w:u w:val="none"/>
          <w:lang w:val="en-US" w:eastAsia="zh-CN"/>
        </w:rPr>
      </w:pPr>
      <w:r>
        <w:rPr>
          <w:rFonts w:ascii="华文仿宋" w:eastAsia="华文仿宋" w:cs="华文仿宋" w:hAnsi="华文仿宋" w:hint="eastAsia"/>
          <w:i w:val="0"/>
          <w:color w:val="000000"/>
          <w:kern w:val="0"/>
          <w:sz w:val="32"/>
          <w:szCs w:val="32"/>
          <w:u w:val="none"/>
          <w:lang w:val="en-US" w:eastAsia="zh-CN"/>
        </w:rPr>
        <w:t>13、辽宁省疾病预防控制中心</w:t>
      </w:r>
    </w:p>
    <w:p>
      <w:pPr>
        <w:ind w:left="0" w:firstLineChars="200" w:firstLine="640"/>
        <w:jc w:val="both"/>
        <w:rPr>
          <w:rFonts w:ascii="华文仿宋" w:eastAsia="华文仿宋" w:cs="华文仿宋" w:hAnsi="华文仿宋" w:hint="eastAsia"/>
          <w:i w:val="0"/>
          <w:color w:val="000000"/>
          <w:kern w:val="0"/>
          <w:sz w:val="32"/>
          <w:szCs w:val="32"/>
          <w:u w:val="none"/>
          <w:lang w:val="en-US" w:eastAsia="zh-CN"/>
        </w:rPr>
      </w:pPr>
      <w:r>
        <w:rPr>
          <w:rFonts w:ascii="华文仿宋" w:eastAsia="华文仿宋" w:cs="华文仿宋" w:hAnsi="华文仿宋" w:hint="eastAsia"/>
          <w:i w:val="0"/>
          <w:color w:val="000000"/>
          <w:kern w:val="0"/>
          <w:sz w:val="32"/>
          <w:szCs w:val="32"/>
          <w:u w:val="none"/>
          <w:lang w:val="en-US" w:eastAsia="zh-CN"/>
        </w:rPr>
        <w:t>14、辽宁省卫生健康服务中心</w:t>
      </w:r>
    </w:p>
    <w:p>
      <w:pPr>
        <w:ind w:left="0" w:firstLineChars="200" w:firstLine="640"/>
        <w:jc w:val="both"/>
        <w:rPr>
          <w:rFonts w:ascii="华文仿宋" w:eastAsia="华文仿宋" w:cs="华文仿宋" w:hAnsi="华文仿宋" w:hint="eastAsia"/>
          <w:i w:val="0"/>
          <w:color w:val="000000"/>
          <w:kern w:val="0"/>
          <w:sz w:val="32"/>
          <w:szCs w:val="32"/>
          <w:u w:val="none"/>
          <w:lang w:val="en-US" w:eastAsia="zh-CN"/>
        </w:rPr>
      </w:pPr>
      <w:r>
        <w:rPr>
          <w:rFonts w:ascii="华文仿宋" w:eastAsia="华文仿宋" w:cs="华文仿宋" w:hAnsi="华文仿宋" w:hint="eastAsia"/>
          <w:i w:val="0"/>
          <w:color w:val="000000"/>
          <w:kern w:val="0"/>
          <w:sz w:val="32"/>
          <w:szCs w:val="32"/>
          <w:u w:val="none"/>
          <w:lang w:val="en-US" w:eastAsia="zh-CN"/>
        </w:rPr>
        <w:t>15、辽宁省妇幼保健院</w:t>
      </w:r>
    </w:p>
    <w:p>
      <w:pPr>
        <w:ind w:left="0" w:firstLineChars="200" w:firstLine="640"/>
        <w:jc w:val="both"/>
        <w:rPr>
          <w:rFonts w:ascii="华文仿宋" w:eastAsia="华文仿宋" w:cs="华文仿宋" w:hAnsi="华文仿宋" w:hint="eastAsia"/>
          <w:i w:val="0"/>
          <w:color w:val="000000"/>
          <w:kern w:val="0"/>
          <w:sz w:val="32"/>
          <w:szCs w:val="32"/>
          <w:u w:val="none"/>
          <w:lang w:val="en-US" w:eastAsia="zh-CN"/>
        </w:rPr>
      </w:pPr>
      <w:r>
        <w:rPr>
          <w:rFonts w:ascii="华文仿宋" w:eastAsia="华文仿宋" w:cs="华文仿宋" w:hAnsi="华文仿宋" w:hint="eastAsia"/>
          <w:i w:val="0"/>
          <w:color w:val="000000"/>
          <w:kern w:val="0"/>
          <w:sz w:val="32"/>
          <w:szCs w:val="32"/>
          <w:u w:val="none"/>
          <w:lang w:val="en-US" w:eastAsia="zh-CN"/>
        </w:rPr>
        <w:t>16、辽宁中医药大学附属医院</w:t>
      </w:r>
    </w:p>
    <w:p>
      <w:pPr>
        <w:ind w:left="0" w:firstLineChars="200" w:firstLine="640"/>
        <w:jc w:val="both"/>
        <w:rPr>
          <w:rFonts w:ascii="华文仿宋" w:eastAsia="华文仿宋" w:cs="华文仿宋" w:hAnsi="华文仿宋" w:hint="eastAsia"/>
          <w:i w:val="0"/>
          <w:color w:val="000000"/>
          <w:kern w:val="0"/>
          <w:sz w:val="32"/>
          <w:szCs w:val="32"/>
          <w:u w:val="none"/>
          <w:lang w:val="en-US" w:eastAsia="zh-CN"/>
        </w:rPr>
      </w:pPr>
      <w:r>
        <w:rPr>
          <w:rFonts w:ascii="华文仿宋" w:eastAsia="华文仿宋" w:cs="华文仿宋" w:hAnsi="华文仿宋" w:hint="eastAsia"/>
          <w:i w:val="0"/>
          <w:color w:val="000000"/>
          <w:kern w:val="0"/>
          <w:sz w:val="32"/>
          <w:szCs w:val="32"/>
          <w:u w:val="none"/>
          <w:lang w:val="en-US" w:eastAsia="zh-CN"/>
        </w:rPr>
        <w:t>17、辽宁中医药大学附属第二医院</w:t>
      </w:r>
    </w:p>
    <w:p>
      <w:pPr>
        <w:ind w:left="0" w:firstLineChars="200" w:firstLine="640"/>
        <w:jc w:val="both"/>
        <w:rPr>
          <w:rFonts w:ascii="华文仿宋" w:eastAsia="华文仿宋" w:cs="华文仿宋" w:hAnsi="华文仿宋" w:hint="eastAsia"/>
          <w:i w:val="0"/>
          <w:color w:val="000000"/>
          <w:kern w:val="0"/>
          <w:sz w:val="32"/>
          <w:szCs w:val="32"/>
          <w:u w:val="none"/>
          <w:lang w:val="en-US" w:eastAsia="zh-CN"/>
        </w:rPr>
      </w:pPr>
      <w:r>
        <w:rPr>
          <w:rFonts w:ascii="华文仿宋" w:eastAsia="华文仿宋" w:cs="华文仿宋" w:hAnsi="华文仿宋" w:hint="eastAsia"/>
          <w:i w:val="0"/>
          <w:color w:val="000000"/>
          <w:kern w:val="0"/>
          <w:sz w:val="32"/>
          <w:szCs w:val="32"/>
          <w:u w:val="none"/>
          <w:lang w:val="en-US" w:eastAsia="zh-CN"/>
        </w:rPr>
        <w:t>18、中国医科大学附属第一医院</w:t>
      </w:r>
    </w:p>
    <w:p>
      <w:pPr>
        <w:ind w:left="0" w:firstLineChars="200" w:firstLine="640"/>
        <w:jc w:val="both"/>
        <w:rPr>
          <w:rFonts w:ascii="华文仿宋" w:eastAsia="华文仿宋" w:cs="华文仿宋" w:hAnsi="华文仿宋" w:hint="eastAsia"/>
          <w:i w:val="0"/>
          <w:color w:val="000000"/>
          <w:kern w:val="0"/>
          <w:sz w:val="32"/>
          <w:szCs w:val="32"/>
          <w:u w:val="none"/>
          <w:lang w:val="en-US" w:eastAsia="zh-CN"/>
        </w:rPr>
      </w:pPr>
      <w:r>
        <w:rPr>
          <w:rFonts w:ascii="华文仿宋" w:eastAsia="华文仿宋" w:cs="华文仿宋" w:hAnsi="华文仿宋" w:hint="eastAsia"/>
          <w:i w:val="0"/>
          <w:color w:val="000000"/>
          <w:kern w:val="0"/>
          <w:sz w:val="32"/>
          <w:szCs w:val="32"/>
          <w:u w:val="none"/>
          <w:lang w:val="en-US" w:eastAsia="zh-CN"/>
        </w:rPr>
        <w:t>19、中国医科大学附属盛京医院</w:t>
      </w:r>
    </w:p>
    <w:p>
      <w:pPr>
        <w:ind w:left="0" w:firstLineChars="200" w:firstLine="640"/>
        <w:jc w:val="both"/>
        <w:rPr>
          <w:rFonts w:ascii="华文仿宋" w:eastAsia="华文仿宋" w:cs="华文仿宋" w:hAnsi="华文仿宋" w:hint="eastAsia"/>
          <w:i w:val="0"/>
          <w:color w:val="000000"/>
          <w:kern w:val="0"/>
          <w:sz w:val="32"/>
          <w:szCs w:val="32"/>
          <w:u w:val="none"/>
          <w:lang w:val="en-US" w:eastAsia="zh-CN"/>
        </w:rPr>
      </w:pPr>
      <w:r>
        <w:rPr>
          <w:rFonts w:ascii="华文仿宋" w:eastAsia="华文仿宋" w:cs="华文仿宋" w:hAnsi="华文仿宋" w:hint="eastAsia"/>
          <w:i w:val="0"/>
          <w:color w:val="000000"/>
          <w:kern w:val="0"/>
          <w:sz w:val="32"/>
          <w:szCs w:val="32"/>
          <w:u w:val="none"/>
          <w:lang w:val="en-US" w:eastAsia="zh-CN"/>
        </w:rPr>
        <w:t>20、中国医科大学附属口腔医院</w:t>
      </w:r>
    </w:p>
    <w:p>
      <w:pPr>
        <w:ind w:left="0" w:firstLineChars="200" w:firstLine="640"/>
        <w:jc w:val="both"/>
        <w:rPr>
          <w:rFonts w:ascii="华文仿宋" w:eastAsia="华文仿宋" w:cs="华文仿宋" w:hAnsi="华文仿宋" w:hint="eastAsia"/>
          <w:i w:val="0"/>
          <w:color w:val="000000"/>
          <w:kern w:val="0"/>
          <w:sz w:val="32"/>
          <w:szCs w:val="32"/>
          <w:u w:val="none"/>
          <w:lang w:val="en-US" w:eastAsia="zh-CN"/>
        </w:rPr>
      </w:pPr>
      <w:r>
        <w:rPr>
          <w:rFonts w:ascii="华文仿宋" w:eastAsia="华文仿宋" w:cs="华文仿宋" w:hAnsi="华文仿宋" w:hint="eastAsia"/>
          <w:i w:val="0"/>
          <w:color w:val="000000"/>
          <w:kern w:val="0"/>
          <w:sz w:val="32"/>
          <w:szCs w:val="32"/>
          <w:u w:val="none"/>
          <w:lang w:val="en-US" w:eastAsia="zh-CN"/>
        </w:rPr>
        <w:t>21、辽宁中医药大学附属第三医院</w:t>
      </w:r>
    </w:p>
    <w:p>
      <w:pPr>
        <w:ind w:left="0" w:firstLineChars="200" w:firstLine="640"/>
        <w:jc w:val="both"/>
        <w:rPr>
          <w:rFonts w:ascii="华文仿宋" w:eastAsia="华文仿宋" w:cs="华文仿宋" w:hAnsi="华文仿宋" w:hint="eastAsia"/>
          <w:i w:val="0"/>
          <w:color w:val="000000"/>
          <w:kern w:val="0"/>
          <w:sz w:val="32"/>
          <w:szCs w:val="32"/>
          <w:u w:val="none"/>
          <w:lang w:val="en-US" w:eastAsia="zh-CN"/>
        </w:rPr>
      </w:pPr>
      <w:r>
        <w:rPr>
          <w:rFonts w:ascii="华文仿宋" w:eastAsia="华文仿宋" w:cs="华文仿宋" w:hAnsi="华文仿宋" w:hint="eastAsia"/>
          <w:i w:val="0"/>
          <w:color w:val="000000"/>
          <w:kern w:val="0"/>
          <w:sz w:val="32"/>
          <w:szCs w:val="32"/>
          <w:u w:val="none"/>
          <w:lang w:val="en-US" w:eastAsia="zh-CN"/>
        </w:rPr>
        <w:t>22、辽宁省卫生健康委员会机关</w:t>
      </w:r>
    </w:p>
    <w:p>
      <w:pPr>
        <w:ind w:left="0" w:firstLineChars="200" w:firstLine="640"/>
        <w:jc w:val="both"/>
        <w:rPr>
          <w:rFonts w:ascii="华文仿宋" w:eastAsia="华文仿宋" w:cs="华文仿宋" w:hAnsi="华文仿宋" w:hint="eastAsia"/>
          <w:i w:val="0"/>
          <w:color w:val="000000"/>
          <w:kern w:val="0"/>
          <w:sz w:val="32"/>
          <w:szCs w:val="32"/>
          <w:u w:val="none"/>
          <w:lang w:val="en-US" w:eastAsia="zh-CN"/>
        </w:rPr>
      </w:pPr>
      <w:r>
        <w:rPr>
          <w:rFonts w:ascii="华文仿宋" w:eastAsia="华文仿宋" w:cs="华文仿宋" w:hAnsi="华文仿宋" w:hint="eastAsia"/>
          <w:i w:val="0"/>
          <w:color w:val="000000"/>
          <w:kern w:val="0"/>
          <w:sz w:val="32"/>
          <w:szCs w:val="32"/>
          <w:u w:val="none"/>
          <w:lang w:val="en-US" w:eastAsia="zh-CN"/>
        </w:rPr>
        <w:t>23、辽宁省中医药研究院</w:t>
      </w:r>
    </w:p>
    <w:p>
      <w:pPr>
        <w:ind w:left="0" w:firstLineChars="200" w:firstLine="640"/>
        <w:jc w:val="both"/>
        <w:rPr>
          <w:rFonts w:ascii="仿宋_GB2312" w:eastAsia="仿宋_GB2312"/>
          <w:sz w:val="32"/>
          <w:szCs w:val="32"/>
        </w:rPr>
      </w:pPr>
      <w:r>
        <w:rPr>
          <w:rFonts w:ascii="华文仿宋" w:eastAsia="华文仿宋" w:cs="华文仿宋" w:hAnsi="华文仿宋" w:hint="eastAsia"/>
          <w:i w:val="0"/>
          <w:color w:val="000000"/>
          <w:kern w:val="0"/>
          <w:sz w:val="32"/>
          <w:szCs w:val="32"/>
          <w:u w:val="none"/>
          <w:lang w:val="en-US" w:eastAsia="zh-CN"/>
        </w:rPr>
        <w:t>24、辽宁省计划生育协会</w:t>
      </w:r>
    </w:p>
    <w:p>
      <w:pPr>
        <w:spacing w:line="560" w:lineRule="exact"/>
        <w:ind w:firstLineChars="200" w:firstLine="640"/>
        <w:jc w:val="left"/>
        <w:rPr>
          <w:rFonts w:ascii="仿宋_GB2312" w:eastAsia="仿宋_GB2312"/>
          <w:sz w:val="32"/>
          <w:szCs w:val="32"/>
        </w:rPr>
      </w:pPr>
    </w:p>
    <w:p>
      <w:pPr>
        <w:spacing w:line="560" w:lineRule="exact"/>
        <w:ind w:firstLineChars="200" w:firstLine="640"/>
        <w:jc w:val="left"/>
        <w:rPr>
          <w:rFonts w:ascii="仿宋_GB2312" w:eastAsia="仿宋_GB2312"/>
          <w:sz w:val="32"/>
          <w:szCs w:val="32"/>
        </w:rPr>
      </w:pPr>
    </w:p>
    <w:p>
      <w:pPr>
        <w:spacing w:line="560" w:lineRule="exact"/>
        <w:ind w:firstLineChars="200" w:firstLine="640"/>
        <w:jc w:val="left"/>
        <w:rPr>
          <w:rFonts w:ascii="仿宋_GB2312" w:eastAsia="仿宋_GB2312"/>
          <w:sz w:val="32"/>
          <w:szCs w:val="32"/>
        </w:rPr>
      </w:pPr>
    </w:p>
    <w:p>
      <w:pPr>
        <w:spacing w:line="560" w:lineRule="exact"/>
        <w:ind w:firstLineChars="200" w:firstLine="640"/>
        <w:jc w:val="left"/>
        <w:rPr>
          <w:rFonts w:ascii="仿宋_GB2312" w:eastAsia="仿宋_GB2312"/>
          <w:sz w:val="32"/>
          <w:szCs w:val="32"/>
        </w:rPr>
      </w:pPr>
    </w:p>
    <w:p>
      <w:pPr>
        <w:spacing w:line="560" w:lineRule="exact"/>
        <w:ind w:firstLineChars="200" w:firstLine="640"/>
        <w:jc w:val="left"/>
        <w:rPr>
          <w:rFonts w:ascii="仿宋_GB2312" w:eastAsia="仿宋_GB2312"/>
          <w:sz w:val="32"/>
          <w:szCs w:val="32"/>
        </w:rPr>
      </w:pPr>
    </w:p>
    <w:p>
      <w:pPr>
        <w:spacing w:line="560" w:lineRule="exact"/>
        <w:ind w:firstLineChars="200" w:firstLine="640"/>
        <w:jc w:val="left"/>
        <w:rPr>
          <w:rFonts w:ascii="仿宋_GB2312" w:eastAsia="仿宋_GB2312"/>
          <w:sz w:val="32"/>
          <w:szCs w:val="32"/>
        </w:rPr>
      </w:pPr>
    </w:p>
    <w:p>
      <w:pPr>
        <w:spacing w:line="560" w:lineRule="exact"/>
        <w:ind w:firstLineChars="200" w:firstLine="640"/>
        <w:jc w:val="left"/>
        <w:rPr>
          <w:rFonts w:ascii="仿宋_GB2312" w:eastAsia="仿宋_GB2312"/>
          <w:sz w:val="32"/>
          <w:szCs w:val="32"/>
        </w:rPr>
      </w:pPr>
    </w:p>
    <w:p>
      <w:pPr>
        <w:spacing w:line="560" w:lineRule="exact"/>
        <w:ind w:firstLineChars="200" w:firstLine="640"/>
        <w:jc w:val="left"/>
        <w:rPr>
          <w:rFonts w:ascii="仿宋_GB2312" w:eastAsia="仿宋_GB2312"/>
          <w:sz w:val="32"/>
          <w:szCs w:val="32"/>
        </w:rPr>
      </w:pPr>
    </w:p>
    <w:p>
      <w:pPr>
        <w:spacing w:line="560" w:lineRule="exact"/>
        <w:ind w:firstLineChars="200" w:firstLine="640"/>
        <w:jc w:val="left"/>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0"/>
        <w:jc w:val="both"/>
        <w:textAlignment w:val="center"/>
        <w:outlineLvl w:val="9"/>
        <w:rPr>
          <w:rFonts w:ascii="宋体" w:hAnsi="宋体" w:hint="eastAsia"/>
          <w:b/>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0"/>
        <w:jc w:val="center"/>
        <w:textAlignment w:val="center"/>
        <w:outlineLvl w:val="9"/>
        <w:rPr>
          <w:rFonts w:ascii="宋体" w:hAnsi="宋体" w:hint="eastAsia"/>
          <w:b/>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0"/>
        <w:jc w:val="center"/>
        <w:textAlignment w:val="center"/>
        <w:outlineLvl w:val="9"/>
        <w:rPr>
          <w:rFonts w:ascii="宋体" w:hAnsi="宋体" w:hint="eastAsia"/>
          <w:b/>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0"/>
        <w:jc w:val="center"/>
        <w:textAlignment w:val="center"/>
        <w:outlineLvl w:val="9"/>
        <w:rPr>
          <w:rFonts w:ascii="宋体" w:hAnsi="宋体" w:hint="eastAsia"/>
          <w:b/>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0"/>
        <w:jc w:val="center"/>
        <w:textAlignment w:val="center"/>
        <w:outlineLvl w:val="9"/>
        <w:rPr>
          <w:rFonts w:ascii="宋体" w:hAnsi="宋体" w:hint="eastAsia"/>
          <w:b/>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0"/>
        <w:jc w:val="center"/>
        <w:textAlignment w:val="center"/>
        <w:outlineLvl w:val="9"/>
        <w:rPr>
          <w:rFonts w:ascii="宋体" w:hAnsi="宋体" w:hint="eastAsia"/>
          <w:b/>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0"/>
        <w:jc w:val="center"/>
        <w:textAlignment w:val="center"/>
        <w:outlineLvl w:val="9"/>
        <w:rPr>
          <w:rFonts w:ascii="宋体" w:hAnsi="宋体" w:hint="eastAsia"/>
          <w:b/>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0"/>
        <w:jc w:val="center"/>
        <w:textAlignment w:val="center"/>
        <w:outlineLvl w:val="9"/>
        <w:rPr>
          <w:rFonts w:ascii="宋体" w:hAnsi="宋体" w:hint="eastAsia"/>
          <w:b/>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0"/>
        <w:jc w:val="center"/>
        <w:textAlignment w:val="center"/>
        <w:outlineLvl w:val="9"/>
        <w:rPr>
          <w:rFonts w:ascii="宋体" w:hAnsi="宋体" w:hint="eastAsia"/>
          <w:b/>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0"/>
        <w:jc w:val="center"/>
        <w:textAlignment w:val="center"/>
        <w:outlineLvl w:val="9"/>
        <w:rPr>
          <w:rFonts w:ascii="宋体" w:hAnsi="宋体" w:hint="eastAsia"/>
          <w:b/>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0"/>
        <w:jc w:val="center"/>
        <w:textAlignment w:val="center"/>
        <w:outlineLvl w:val="9"/>
        <w:rPr>
          <w:rFonts w:ascii="仿宋_GB2312" w:eastAsia="仿宋_GB2312"/>
          <w:sz w:val="32"/>
          <w:szCs w:val="32"/>
        </w:rPr>
      </w:pPr>
      <w:r>
        <w:rPr>
          <w:rFonts w:ascii="宋体" w:hAnsi="宋体" w:hint="eastAsia"/>
          <w:b/>
          <w:sz w:val="36"/>
          <w:szCs w:val="36"/>
        </w:rPr>
        <w:t>第</w:t>
      </w:r>
      <w:r>
        <w:rPr>
          <w:rFonts w:ascii="宋体" w:hAnsi="宋体" w:hint="eastAsia"/>
          <w:b/>
          <w:sz w:val="36"/>
          <w:szCs w:val="36"/>
          <w:lang w:eastAsia="zh-CN"/>
        </w:rPr>
        <w:t>三</w:t>
      </w:r>
      <w:r>
        <w:rPr>
          <w:rFonts w:ascii="宋体" w:hAnsi="宋体" w:hint="eastAsia"/>
          <w:b/>
          <w:sz w:val="36"/>
          <w:szCs w:val="36"/>
        </w:rPr>
        <w:t xml:space="preserve">部分 </w:t>
      </w:r>
      <w:r>
        <w:rPr>
          <w:rFonts w:ascii="宋体" w:hAnsi="宋体" w:hint="eastAsia"/>
          <w:b/>
          <w:sz w:val="36"/>
          <w:szCs w:val="36"/>
          <w:lang w:eastAsia="zh-CN"/>
        </w:rPr>
        <w:t>辽宁省卫生健康委员会</w:t>
      </w:r>
      <w:r>
        <w:rPr>
          <w:rFonts w:ascii="宋体" w:hAnsi="宋体" w:hint="eastAsia"/>
          <w:b/>
          <w:sz w:val="36"/>
          <w:szCs w:val="36"/>
        </w:rPr>
        <w:t>部门预算公开报表</w:t>
      </w:r>
    </w:p>
    <w:p>
      <w:pPr>
        <w:spacing w:line="560" w:lineRule="exact"/>
        <w:jc w:val="center"/>
        <w:rPr>
          <w:rFonts w:ascii="仿宋_GB2312" w:eastAsia="仿宋_GB2312"/>
          <w:b/>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b/>
          <w:sz w:val="32"/>
          <w:szCs w:val="32"/>
        </w:rPr>
      </w:pPr>
    </w:p>
    <w:p>
      <w:pPr>
        <w:spacing w:line="560" w:lineRule="exact"/>
        <w:jc w:val="center"/>
        <w:rPr>
          <w:rFonts w:ascii="仿宋_GB2312" w:eastAsia="仿宋_GB2312"/>
          <w:b/>
          <w:sz w:val="32"/>
          <w:szCs w:val="32"/>
        </w:rPr>
      </w:pPr>
    </w:p>
    <w:p>
      <w:pPr>
        <w:spacing w:line="560" w:lineRule="exact"/>
        <w:rPr>
          <w:rFonts w:ascii="黑体" w:eastAsia="黑体"/>
          <w:sz w:val="36"/>
          <w:szCs w:val="36"/>
        </w:rPr>
      </w:pPr>
    </w:p>
    <w:p>
      <w:pPr>
        <w:spacing w:line="560" w:lineRule="exact"/>
        <w:jc w:val="center"/>
        <w:rPr>
          <w:rFonts w:ascii="黑体" w:eastAsia="黑体"/>
          <w:sz w:val="36"/>
          <w:szCs w:val="36"/>
        </w:rPr>
      </w:pPr>
    </w:p>
    <w:p>
      <w:pPr>
        <w:spacing w:line="560" w:lineRule="exact"/>
        <w:jc w:val="center"/>
        <w:rPr>
          <w:rFonts w:ascii="黑体" w:eastAsia="黑体"/>
          <w:sz w:val="36"/>
          <w:szCs w:val="36"/>
        </w:rPr>
      </w:pPr>
    </w:p>
    <w:p>
      <w:pPr>
        <w:spacing w:line="560" w:lineRule="exact"/>
        <w:jc w:val="center"/>
        <w:rPr>
          <w:rFonts w:ascii="黑体" w:eastAsia="黑体"/>
          <w:sz w:val="36"/>
          <w:szCs w:val="36"/>
        </w:rPr>
      </w:pPr>
    </w:p>
    <w:p>
      <w:pPr>
        <w:spacing w:line="560" w:lineRule="exact"/>
        <w:jc w:val="center"/>
        <w:rPr>
          <w:rFonts w:ascii="黑体" w:eastAsia="黑体"/>
          <w:sz w:val="36"/>
          <w:szCs w:val="36"/>
        </w:rPr>
      </w:pPr>
    </w:p>
    <w:p>
      <w:pPr>
        <w:spacing w:line="560" w:lineRule="exact"/>
        <w:jc w:val="center"/>
        <w:rPr>
          <w:rFonts w:ascii="黑体" w:eastAsia="黑体"/>
          <w:sz w:val="36"/>
          <w:szCs w:val="36"/>
        </w:rPr>
      </w:pPr>
    </w:p>
    <w:p>
      <w:pPr>
        <w:spacing w:line="560" w:lineRule="exact"/>
        <w:jc w:val="center"/>
        <w:rPr>
          <w:rFonts w:ascii="黑体" w:eastAsia="黑体"/>
          <w:sz w:val="36"/>
          <w:szCs w:val="36"/>
        </w:rPr>
      </w:pPr>
    </w:p>
    <w:p>
      <w:pPr>
        <w:spacing w:line="560" w:lineRule="exact"/>
        <w:jc w:val="center"/>
        <w:rPr>
          <w:rFonts w:ascii="黑体" w:eastAsia="黑体"/>
          <w:sz w:val="36"/>
          <w:szCs w:val="36"/>
        </w:rPr>
      </w:pPr>
    </w:p>
    <w:p>
      <w:pPr>
        <w:numPr>
          <w:ilvl w:val="0"/>
          <w:numId w:val="3"/>
        </w:numPr>
        <w:spacing w:line="560" w:lineRule="exact"/>
        <w:jc w:val="center"/>
        <w:rPr>
          <w:rFonts w:ascii="宋体" w:hAnsi="宋体"/>
          <w:b/>
          <w:sz w:val="36"/>
          <w:szCs w:val="36"/>
        </w:rPr>
      </w:pPr>
      <w:r>
        <w:rPr>
          <w:rFonts w:ascii="宋体" w:hAnsi="宋体" w:hint="eastAsia"/>
          <w:b/>
          <w:sz w:val="36"/>
          <w:szCs w:val="36"/>
          <w:lang w:eastAsia="zh-CN"/>
        </w:rPr>
        <w:br w:type="page"/>
        <w:t>辽宁省卫生健康委员会</w:t>
      </w:r>
      <w:r>
        <w:rPr>
          <w:rFonts w:ascii="宋体" w:hAnsi="宋体" w:hint="eastAsia"/>
          <w:b/>
          <w:sz w:val="36"/>
          <w:szCs w:val="36"/>
        </w:rPr>
        <w:t>201</w:t>
      </w:r>
      <w:r>
        <w:rPr>
          <w:rFonts w:ascii="宋体" w:hAnsi="宋体" w:hint="eastAsia"/>
          <w:b/>
          <w:sz w:val="36"/>
          <w:szCs w:val="36"/>
          <w:lang w:val="en-US" w:eastAsia="zh-CN"/>
        </w:rPr>
        <w:t>9</w:t>
      </w:r>
      <w:r>
        <w:rPr>
          <w:rFonts w:ascii="宋体" w:hAnsi="宋体" w:hint="eastAsia"/>
          <w:b/>
          <w:sz w:val="36"/>
          <w:szCs w:val="36"/>
        </w:rPr>
        <w:t>年部门预算</w:t>
      </w:r>
    </w:p>
    <w:p>
      <w:pPr>
        <w:spacing w:line="560" w:lineRule="exact"/>
        <w:jc w:val="center"/>
        <w:rPr>
          <w:rFonts w:ascii="宋体" w:hAnsi="宋体"/>
          <w:b/>
          <w:sz w:val="36"/>
          <w:szCs w:val="36"/>
        </w:rPr>
      </w:pPr>
      <w:r>
        <w:rPr>
          <w:rFonts w:ascii="宋体" w:hAnsi="宋体" w:hint="eastAsia"/>
          <w:b/>
          <w:sz w:val="36"/>
          <w:szCs w:val="36"/>
        </w:rPr>
        <w:t>情况说明</w:t>
      </w:r>
    </w:p>
    <w:p>
      <w:pPr>
        <w:spacing w:line="560" w:lineRule="exact"/>
        <w:jc w:val="center"/>
        <w:rPr>
          <w:rFonts w:ascii="宋体" w:hAnsi="宋体"/>
          <w:b/>
          <w:sz w:val="36"/>
          <w:szCs w:val="36"/>
        </w:rPr>
      </w:pPr>
    </w:p>
    <w:p>
      <w:pPr>
        <w:spacing w:line="560" w:lineRule="exact"/>
        <w:ind w:firstLineChars="196" w:firstLine="627"/>
        <w:rPr>
          <w:rFonts w:ascii="黑体" w:eastAsia="黑体" w:hAnsi="黑体"/>
          <w:sz w:val="32"/>
          <w:szCs w:val="32"/>
        </w:rPr>
      </w:pPr>
      <w:r>
        <w:rPr>
          <w:rFonts w:ascii="黑体" w:eastAsia="黑体" w:hAnsi="黑体" w:hint="eastAsia"/>
          <w:sz w:val="32"/>
          <w:szCs w:val="32"/>
        </w:rPr>
        <w:t>一、收支预算的总体情况</w:t>
      </w:r>
    </w:p>
    <w:p>
      <w:pPr>
        <w:spacing w:line="560" w:lineRule="exact"/>
        <w:ind w:firstLine="660"/>
        <w:rPr>
          <w:rFonts w:ascii="仿宋_GB2312" w:eastAsia="仿宋_GB2312" w:hAnsi="宋体"/>
          <w:sz w:val="32"/>
          <w:szCs w:val="32"/>
        </w:rPr>
      </w:pPr>
      <w:r>
        <w:rPr>
          <w:rFonts w:ascii="仿宋_GB2312" w:eastAsia="仿宋_GB2312" w:hAnsi="宋体" w:hint="eastAsia"/>
          <w:sz w:val="32"/>
          <w:szCs w:val="32"/>
        </w:rPr>
        <w:t>按照综合预算的原则，</w:t>
      </w:r>
      <w:r>
        <w:rPr>
          <w:rFonts w:ascii="仿宋_GB2312" w:eastAsia="仿宋_GB2312" w:hAnsi="宋体" w:hint="eastAsia"/>
          <w:sz w:val="32"/>
          <w:szCs w:val="32"/>
          <w:lang w:eastAsia="zh-CN"/>
        </w:rPr>
        <w:t>2019年辽宁省卫生健康委员会</w:t>
      </w:r>
      <w:r>
        <w:rPr>
          <w:rFonts w:ascii="仿宋_GB2312" w:eastAsia="仿宋_GB2312" w:hAnsi="宋体" w:hint="eastAsia"/>
          <w:sz w:val="32"/>
          <w:szCs w:val="32"/>
        </w:rPr>
        <w:t>所有收入和支出均纳入部门预算管理。其中：</w:t>
      </w:r>
    </w:p>
    <w:p>
      <w:pPr>
        <w:spacing w:line="560" w:lineRule="exact"/>
        <w:ind w:firstLine="660"/>
        <w:rPr>
          <w:rFonts w:ascii="仿宋_GB2312" w:eastAsia="仿宋_GB2312" w:hAnsi="宋体"/>
          <w:sz w:val="32"/>
          <w:szCs w:val="32"/>
        </w:rPr>
      </w:pPr>
      <w:r>
        <w:rPr>
          <w:rFonts w:ascii="楷体" w:eastAsia="楷体" w:hAnsi="楷体" w:hint="eastAsia"/>
          <w:b/>
          <w:sz w:val="32"/>
          <w:szCs w:val="32"/>
        </w:rPr>
        <w:t>（一）收入预算</w:t>
      </w:r>
      <w:r>
        <w:rPr>
          <w:rFonts w:ascii="楷体" w:eastAsia="楷体" w:hAnsi="楷体" w:hint="eastAsia"/>
          <w:b/>
          <w:sz w:val="32"/>
          <w:szCs w:val="32"/>
          <w:lang w:val="en-US" w:eastAsia="zh-CN"/>
        </w:rPr>
        <w:t>2798255.4</w:t>
      </w:r>
      <w:r>
        <w:rPr>
          <w:rFonts w:ascii="楷体" w:eastAsia="楷体" w:hAnsi="楷体" w:hint="eastAsia"/>
          <w:b/>
          <w:sz w:val="32"/>
          <w:szCs w:val="32"/>
        </w:rPr>
        <w:t>万元，</w:t>
      </w:r>
      <w:r>
        <w:rPr>
          <w:rFonts w:ascii="仿宋_GB2312" w:eastAsia="仿宋_GB2312" w:hAnsi="宋体" w:hint="eastAsia"/>
          <w:sz w:val="32"/>
          <w:szCs w:val="32"/>
        </w:rPr>
        <w:t>包括：</w:t>
      </w:r>
    </w:p>
    <w:p>
      <w:pPr>
        <w:spacing w:line="560" w:lineRule="exact"/>
        <w:ind w:firstLine="660"/>
        <w:rPr>
          <w:rFonts w:ascii="仿宋_GB2312" w:eastAsia="仿宋_GB2312" w:hAnsi="宋体"/>
          <w:sz w:val="32"/>
          <w:szCs w:val="32"/>
        </w:rPr>
      </w:pPr>
      <w:r>
        <w:rPr>
          <w:rFonts w:ascii="仿宋_GB2312" w:eastAsia="仿宋_GB2312" w:hAnsi="宋体" w:hint="eastAsia"/>
          <w:sz w:val="32"/>
          <w:szCs w:val="32"/>
        </w:rPr>
        <w:t>1.财政拨款收入</w:t>
      </w:r>
      <w:r>
        <w:rPr>
          <w:rFonts w:ascii="仿宋_GB2312" w:eastAsia="仿宋_GB2312" w:hAnsi="宋体" w:hint="eastAsia"/>
          <w:sz w:val="32"/>
          <w:szCs w:val="32"/>
          <w:lang w:val="en-US" w:eastAsia="zh-CN"/>
        </w:rPr>
        <w:t>23764</w:t>
      </w:r>
      <w:r>
        <w:rPr>
          <w:rFonts w:ascii="仿宋_GB2312" w:eastAsia="仿宋_GB2312" w:hAnsi="宋体" w:hint="eastAsia"/>
          <w:sz w:val="32"/>
          <w:szCs w:val="32"/>
        </w:rPr>
        <w:t>万元；</w:t>
      </w:r>
    </w:p>
    <w:p>
      <w:pPr>
        <w:spacing w:line="560" w:lineRule="exact"/>
        <w:ind w:firstLine="660"/>
        <w:rPr>
          <w:rFonts w:ascii="仿宋_GB2312" w:eastAsia="仿宋_GB2312" w:hAnsi="宋体"/>
          <w:sz w:val="32"/>
          <w:szCs w:val="32"/>
        </w:rPr>
      </w:pPr>
      <w:r>
        <w:rPr>
          <w:rFonts w:ascii="仿宋_GB2312" w:eastAsia="仿宋_GB2312" w:hAnsi="宋体" w:hint="eastAsia"/>
          <w:sz w:val="32"/>
          <w:szCs w:val="32"/>
        </w:rPr>
        <w:t>2.纳入预算管理的行政事业性收费等非税收入</w:t>
      </w:r>
      <w:r>
        <w:rPr>
          <w:rFonts w:ascii="仿宋_GB2312" w:eastAsia="仿宋_GB2312" w:hAnsi="宋体" w:hint="eastAsia"/>
          <w:sz w:val="32"/>
          <w:szCs w:val="32"/>
          <w:lang w:val="en-US" w:eastAsia="zh-CN"/>
        </w:rPr>
        <w:t>507.4</w:t>
      </w:r>
      <w:r>
        <w:rPr>
          <w:rFonts w:ascii="仿宋_GB2312" w:eastAsia="仿宋_GB2312" w:hAnsi="宋体" w:hint="eastAsia"/>
          <w:sz w:val="32"/>
          <w:szCs w:val="32"/>
        </w:rPr>
        <w:t>万元；</w:t>
      </w:r>
    </w:p>
    <w:p>
      <w:pPr>
        <w:spacing w:line="560" w:lineRule="exact"/>
        <w:ind w:leftChars="304" w:left="638" w:firstLineChars="5" w:firstLine="16"/>
        <w:rPr>
          <w:rFonts w:ascii="仿宋_GB2312" w:eastAsia="仿宋_GB2312" w:hAnsi="宋体"/>
          <w:sz w:val="32"/>
          <w:szCs w:val="32"/>
        </w:rPr>
      </w:pPr>
      <w:r>
        <w:rPr>
          <w:rFonts w:ascii="仿宋_GB2312" w:eastAsia="仿宋_GB2312" w:hAnsi="宋体" w:hint="eastAsia"/>
          <w:sz w:val="32"/>
          <w:szCs w:val="32"/>
          <w:lang w:val="en-US" w:eastAsia="zh-CN"/>
        </w:rPr>
        <w:t>3.</w:t>
      </w:r>
      <w:r>
        <w:rPr>
          <w:rFonts w:ascii="仿宋_GB2312" w:eastAsia="仿宋_GB2312" w:hAnsi="宋体" w:hint="eastAsia"/>
          <w:sz w:val="32"/>
          <w:szCs w:val="32"/>
        </w:rPr>
        <w:t>纳入专户管理的行政事业性收费等非税收入</w:t>
      </w:r>
      <w:r>
        <w:rPr>
          <w:rFonts w:ascii="仿宋_GB2312" w:eastAsia="仿宋_GB2312" w:hAnsi="宋体" w:hint="eastAsia"/>
          <w:sz w:val="32"/>
          <w:szCs w:val="32"/>
          <w:lang w:val="en-US" w:eastAsia="zh-CN"/>
        </w:rPr>
        <w:t>49</w:t>
      </w:r>
      <w:r>
        <w:rPr>
          <w:rFonts w:ascii="仿宋_GB2312" w:eastAsia="仿宋_GB2312" w:hAnsi="宋体" w:hint="eastAsia"/>
          <w:sz w:val="32"/>
          <w:szCs w:val="32"/>
        </w:rPr>
        <w:t>万元；</w:t>
      </w:r>
    </w:p>
    <w:p>
      <w:pPr>
        <w:spacing w:line="560" w:lineRule="exact"/>
        <w:ind w:leftChars="304" w:left="638" w:firstLineChars="5" w:firstLine="16"/>
        <w:rPr>
          <w:rFonts w:ascii="仿宋_GB2312" w:eastAsia="仿宋_GB2312" w:hAnsi="宋体"/>
          <w:sz w:val="32"/>
          <w:szCs w:val="32"/>
        </w:rPr>
      </w:pPr>
      <w:r>
        <w:rPr>
          <w:rFonts w:ascii="仿宋_GB2312" w:eastAsia="仿宋_GB2312" w:hAnsi="宋体" w:hint="eastAsia"/>
          <w:sz w:val="32"/>
          <w:szCs w:val="32"/>
          <w:lang w:val="en-US" w:eastAsia="zh-CN"/>
        </w:rPr>
        <w:t>4</w:t>
      </w:r>
      <w:r>
        <w:rPr>
          <w:rFonts w:ascii="仿宋_GB2312" w:eastAsia="仿宋_GB2312" w:hAnsi="宋体" w:hint="eastAsia"/>
          <w:sz w:val="32"/>
          <w:szCs w:val="32"/>
        </w:rPr>
        <w:t>.其他非税收入</w:t>
      </w:r>
      <w:r>
        <w:rPr>
          <w:rFonts w:ascii="仿宋_GB2312" w:eastAsia="仿宋_GB2312" w:hAnsi="宋体" w:hint="eastAsia"/>
          <w:sz w:val="32"/>
          <w:szCs w:val="32"/>
          <w:lang w:val="en-US" w:eastAsia="zh-CN"/>
        </w:rPr>
        <w:t>2773935</w:t>
      </w:r>
      <w:r>
        <w:rPr>
          <w:rFonts w:ascii="仿宋_GB2312" w:eastAsia="仿宋_GB2312" w:hAnsi="宋体" w:hint="eastAsia"/>
          <w:sz w:val="32"/>
          <w:szCs w:val="32"/>
        </w:rPr>
        <w:t>万元。</w:t>
      </w:r>
    </w:p>
    <w:p>
      <w:pPr>
        <w:spacing w:line="560" w:lineRule="exact"/>
        <w:ind w:leftChars="304" w:left="638" w:firstLineChars="5" w:firstLine="16"/>
        <w:rPr>
          <w:rFonts w:ascii="仿宋_GB2312" w:eastAsia="仿宋_GB2312" w:hAnsi="宋体"/>
          <w:sz w:val="32"/>
          <w:szCs w:val="32"/>
        </w:rPr>
      </w:pPr>
      <w:r>
        <w:rPr>
          <w:rFonts w:ascii="楷体" w:eastAsia="楷体" w:hAnsi="楷体" w:hint="eastAsia"/>
          <w:b/>
          <w:sz w:val="32"/>
          <w:szCs w:val="32"/>
        </w:rPr>
        <w:t>（二）支出预算</w:t>
      </w:r>
      <w:r>
        <w:rPr>
          <w:rFonts w:ascii="楷体" w:eastAsia="楷体" w:hAnsi="楷体" w:hint="eastAsia"/>
          <w:b/>
          <w:sz w:val="32"/>
          <w:szCs w:val="32"/>
          <w:lang w:val="en-US" w:eastAsia="zh-CN"/>
        </w:rPr>
        <w:t>2798255.4</w:t>
      </w:r>
      <w:r>
        <w:rPr>
          <w:rFonts w:ascii="楷体" w:eastAsia="楷体" w:hAnsi="楷体" w:hint="eastAsia"/>
          <w:b/>
          <w:sz w:val="32"/>
          <w:szCs w:val="32"/>
        </w:rPr>
        <w:t>万元，</w:t>
      </w:r>
      <w:r>
        <w:rPr>
          <w:rFonts w:ascii="仿宋_GB2312" w:eastAsia="仿宋_GB2312" w:hAnsi="宋体" w:hint="eastAsia"/>
          <w:sz w:val="32"/>
          <w:szCs w:val="32"/>
        </w:rPr>
        <w:t>包括：</w:t>
      </w:r>
    </w:p>
    <w:p>
      <w:pPr>
        <w:autoSpaceDE w:val="0"/>
        <w:spacing w:line="560" w:lineRule="exact"/>
        <w:ind w:firstLineChars="200" w:firstLine="640"/>
        <w:rPr>
          <w:rFonts w:ascii="仿宋_GB2312" w:eastAsia="仿宋_GB2312"/>
          <w:sz w:val="32"/>
          <w:szCs w:val="32"/>
        </w:rPr>
      </w:pPr>
      <w:r>
        <w:rPr>
          <w:rFonts w:ascii="仿宋_GB2312" w:eastAsia="仿宋_GB2312" w:hint="eastAsia"/>
          <w:sz w:val="32"/>
          <w:szCs w:val="32"/>
        </w:rPr>
        <w:t>1.基本支出</w:t>
      </w:r>
      <w:r>
        <w:rPr>
          <w:rFonts w:ascii="仿宋_GB2312" w:eastAsia="仿宋_GB2312" w:hAnsi="宋体" w:hint="eastAsia"/>
          <w:sz w:val="32"/>
          <w:szCs w:val="32"/>
          <w:lang w:val="en-US" w:eastAsia="zh-CN"/>
        </w:rPr>
        <w:t>849122.9</w:t>
      </w:r>
      <w:r>
        <w:rPr>
          <w:rFonts w:ascii="仿宋_GB2312" w:eastAsia="仿宋_GB2312" w:hAnsi="宋体" w:hint="eastAsia"/>
          <w:sz w:val="32"/>
          <w:szCs w:val="32"/>
        </w:rPr>
        <w:t>万元</w:t>
      </w:r>
      <w:r>
        <w:rPr>
          <w:rFonts w:ascii="仿宋_GB2312" w:eastAsia="仿宋_GB2312" w:hint="eastAsia"/>
          <w:sz w:val="32"/>
          <w:szCs w:val="32"/>
        </w:rPr>
        <w:t>；</w:t>
      </w:r>
    </w:p>
    <w:p>
      <w:pPr>
        <w:autoSpaceDE w:val="0"/>
        <w:spacing w:line="560" w:lineRule="exact"/>
        <w:ind w:firstLineChars="200" w:firstLine="640"/>
        <w:rPr>
          <w:rFonts w:ascii="仿宋_GB2312" w:eastAsia="仿宋_GB2312"/>
          <w:sz w:val="32"/>
          <w:szCs w:val="32"/>
        </w:rPr>
      </w:pPr>
      <w:r>
        <w:rPr>
          <w:rFonts w:ascii="仿宋_GB2312" w:eastAsia="仿宋_GB2312" w:hint="eastAsia"/>
          <w:sz w:val="32"/>
          <w:szCs w:val="32"/>
        </w:rPr>
        <w:t>2.项目支出</w:t>
      </w:r>
      <w:r>
        <w:rPr>
          <w:rFonts w:ascii="仿宋_GB2312" w:eastAsia="仿宋_GB2312" w:hint="eastAsia"/>
          <w:sz w:val="32"/>
          <w:szCs w:val="32"/>
          <w:lang w:val="en-US" w:eastAsia="zh-CN"/>
        </w:rPr>
        <w:t>1949132.5</w:t>
      </w:r>
      <w:r>
        <w:rPr>
          <w:rFonts w:ascii="仿宋_GB2312" w:eastAsia="仿宋_GB2312" w:hint="eastAsia"/>
          <w:sz w:val="32"/>
          <w:szCs w:val="32"/>
        </w:rPr>
        <w:t>万元。</w:t>
      </w:r>
    </w:p>
    <w:p>
      <w:pPr>
        <w:autoSpaceDE w:val="0"/>
        <w:spacing w:line="560" w:lineRule="exact"/>
        <w:ind w:firstLineChars="200" w:firstLine="640"/>
        <w:rPr>
          <w:rFonts w:ascii="仿宋_GB2312" w:eastAsia="仿宋_GB2312"/>
          <w:sz w:val="32"/>
          <w:szCs w:val="32"/>
        </w:rPr>
      </w:pPr>
      <w:r>
        <w:rPr>
          <w:rFonts w:ascii="仿宋_GB2312" w:eastAsia="仿宋_GB2312" w:hint="eastAsia"/>
          <w:sz w:val="32"/>
          <w:szCs w:val="32"/>
        </w:rPr>
        <w:t>在支出预算</w:t>
      </w:r>
      <w:r>
        <w:rPr>
          <w:rFonts w:ascii="仿宋_GB2312" w:eastAsia="仿宋_GB2312" w:hint="eastAsia"/>
          <w:sz w:val="32"/>
          <w:szCs w:val="32"/>
          <w:lang w:val="en-US" w:eastAsia="zh-CN"/>
        </w:rPr>
        <w:t>2798255.4</w:t>
      </w:r>
      <w:r>
        <w:rPr>
          <w:rFonts w:ascii="仿宋_GB2312" w:eastAsia="仿宋_GB2312" w:hint="eastAsia"/>
          <w:sz w:val="32"/>
          <w:szCs w:val="32"/>
        </w:rPr>
        <w:t>万元中，政府采购支出</w:t>
      </w:r>
      <w:r>
        <w:rPr>
          <w:rFonts w:ascii="仿宋_GB2312" w:eastAsia="仿宋_GB2312" w:hAnsi="宋体" w:hint="eastAsia"/>
          <w:sz w:val="32"/>
          <w:szCs w:val="32"/>
          <w:lang w:val="en-US" w:eastAsia="zh-CN"/>
        </w:rPr>
        <w:t>123821.3</w:t>
      </w:r>
      <w:r>
        <w:rPr>
          <w:rFonts w:ascii="仿宋_GB2312" w:eastAsia="仿宋_GB2312" w:hint="eastAsia"/>
          <w:sz w:val="32"/>
          <w:szCs w:val="32"/>
        </w:rPr>
        <w:t>万元，债务支出</w:t>
      </w:r>
      <w:r>
        <w:rPr>
          <w:rFonts w:ascii="仿宋_GB2312" w:eastAsia="仿宋_GB2312" w:hAnsi="宋体" w:hint="eastAsia"/>
          <w:sz w:val="32"/>
          <w:szCs w:val="32"/>
          <w:lang w:val="en-US" w:eastAsia="zh-CN"/>
        </w:rPr>
        <w:t>18916.2</w:t>
      </w:r>
      <w:r>
        <w:rPr>
          <w:rFonts w:ascii="仿宋_GB2312" w:eastAsia="仿宋_GB2312" w:hint="eastAsia"/>
          <w:sz w:val="32"/>
          <w:szCs w:val="32"/>
        </w:rPr>
        <w:t>万元，政府购买服务支出</w:t>
      </w:r>
      <w:r>
        <w:rPr>
          <w:rFonts w:ascii="仿宋_GB2312" w:eastAsia="仿宋_GB2312" w:hAnsi="宋体" w:hint="eastAsia"/>
          <w:sz w:val="32"/>
          <w:szCs w:val="32"/>
          <w:lang w:val="en-US" w:eastAsia="zh-CN"/>
        </w:rPr>
        <w:t>51</w:t>
      </w:r>
      <w:r>
        <w:rPr>
          <w:rFonts w:ascii="仿宋_GB2312" w:eastAsia="仿宋_GB2312" w:hint="eastAsia"/>
          <w:sz w:val="32"/>
          <w:szCs w:val="32"/>
        </w:rPr>
        <w:t>万元。</w:t>
      </w:r>
    </w:p>
    <w:p>
      <w:pPr>
        <w:spacing w:line="560" w:lineRule="exact"/>
        <w:ind w:firstLine="660"/>
        <w:rPr>
          <w:rFonts w:ascii="仿宋" w:eastAsia="仿宋" w:cs="仿宋" w:hAnsi="仿宋" w:hint="eastAsia"/>
          <w:sz w:val="32"/>
          <w:szCs w:val="32"/>
        </w:rPr>
      </w:pPr>
      <w:r>
        <w:rPr>
          <w:rFonts w:ascii="黑体" w:eastAsia="黑体" w:hAnsi="黑体" w:hint="eastAsia"/>
          <w:sz w:val="32"/>
          <w:szCs w:val="32"/>
        </w:rPr>
        <w:t>201</w:t>
      </w:r>
      <w:r>
        <w:rPr>
          <w:rFonts w:ascii="黑体" w:eastAsia="黑体" w:hAnsi="黑体" w:hint="eastAsia"/>
          <w:sz w:val="32"/>
          <w:szCs w:val="32"/>
          <w:lang w:val="en-US" w:eastAsia="zh-CN"/>
        </w:rPr>
        <w:t>9</w:t>
      </w:r>
      <w:r>
        <w:rPr>
          <w:rFonts w:ascii="黑体" w:eastAsia="黑体" w:hAnsi="黑体" w:hint="eastAsia"/>
          <w:sz w:val="32"/>
          <w:szCs w:val="32"/>
        </w:rPr>
        <w:t>年预算收支比201</w:t>
      </w:r>
      <w:r>
        <w:rPr>
          <w:rFonts w:ascii="黑体" w:eastAsia="黑体" w:hAnsi="黑体" w:hint="eastAsia"/>
          <w:sz w:val="32"/>
          <w:szCs w:val="32"/>
          <w:lang w:val="en-US" w:eastAsia="zh-CN"/>
        </w:rPr>
        <w:t>8</w:t>
      </w:r>
      <w:r>
        <w:rPr>
          <w:rFonts w:ascii="黑体" w:eastAsia="黑体" w:hAnsi="黑体" w:hint="eastAsia"/>
          <w:sz w:val="32"/>
          <w:szCs w:val="32"/>
        </w:rPr>
        <w:t>年</w:t>
      </w:r>
      <w:r>
        <w:rPr>
          <w:rFonts w:ascii="黑体" w:eastAsia="黑体" w:hAnsi="黑体" w:hint="eastAsia"/>
          <w:sz w:val="32"/>
          <w:szCs w:val="32"/>
          <w:lang w:eastAsia="zh-CN"/>
        </w:rPr>
        <w:t>增加</w:t>
      </w:r>
      <w:r>
        <w:rPr>
          <w:rFonts w:ascii="黑体" w:eastAsia="黑体" w:hAnsi="黑体" w:hint="eastAsia"/>
          <w:sz w:val="32"/>
          <w:szCs w:val="32"/>
          <w:lang w:val="en-US" w:eastAsia="zh-CN"/>
        </w:rPr>
        <w:t>237335.5</w:t>
      </w:r>
      <w:r>
        <w:rPr>
          <w:rFonts w:ascii="黑体" w:eastAsia="黑体" w:hAnsi="黑体" w:hint="eastAsia"/>
          <w:sz w:val="32"/>
          <w:szCs w:val="32"/>
        </w:rPr>
        <w:t>万元，增减变化的主要原因为</w:t>
      </w:r>
      <w:r>
        <w:rPr>
          <w:rFonts w:ascii="黑体" w:eastAsia="黑体" w:hAnsi="黑体" w:hint="eastAsia"/>
          <w:sz w:val="32"/>
          <w:szCs w:val="32"/>
          <w:lang w:eastAsia="zh-CN"/>
        </w:rPr>
        <w:t>：</w:t>
      </w:r>
      <w:r>
        <w:rPr>
          <w:rFonts w:ascii="仿宋" w:eastAsia="仿宋" w:cs="仿宋" w:hAnsi="仿宋" w:hint="eastAsia"/>
          <w:sz w:val="32"/>
          <w:szCs w:val="32"/>
          <w:lang w:eastAsia="zh-CN"/>
        </w:rPr>
        <w:t>省属医院医疗业务收入有所增加。</w:t>
      </w:r>
    </w:p>
    <w:p>
      <w:pPr>
        <w:spacing w:line="560" w:lineRule="exact"/>
        <w:ind w:firstLine="645"/>
        <w:rPr>
          <w:rFonts w:ascii="黑体" w:eastAsia="黑体" w:hAnsi="宋体"/>
          <w:sz w:val="32"/>
          <w:szCs w:val="32"/>
        </w:rPr>
      </w:pPr>
      <w:r>
        <w:rPr>
          <w:rFonts w:ascii="黑体" w:eastAsia="黑体" w:hAnsi="宋体" w:hint="eastAsia"/>
          <w:sz w:val="32"/>
          <w:szCs w:val="32"/>
        </w:rPr>
        <w:t>二、机关运行经费安排情况</w:t>
      </w:r>
    </w:p>
    <w:p>
      <w:pPr>
        <w:spacing w:line="560" w:lineRule="exact"/>
        <w:ind w:firstLine="645"/>
        <w:rPr>
          <w:rFonts w:ascii="仿宋_GB2312" w:eastAsia="仿宋_GB2312" w:hAnsi="宋体"/>
          <w:sz w:val="32"/>
          <w:szCs w:val="32"/>
        </w:rPr>
      </w:pPr>
      <w:r>
        <w:rPr>
          <w:rFonts w:ascii="仿宋_GB2312" w:eastAsia="仿宋_GB2312" w:hAnsi="宋体" w:hint="eastAsia"/>
          <w:sz w:val="32"/>
          <w:szCs w:val="32"/>
          <w:lang w:eastAsia="zh-CN"/>
        </w:rPr>
        <w:t>2019年辽宁省卫生健康委员会</w:t>
      </w:r>
      <w:r>
        <w:rPr>
          <w:rFonts w:ascii="仿宋_GB2312" w:eastAsia="仿宋_GB2312" w:hAnsi="宋体" w:hint="eastAsia"/>
          <w:sz w:val="32"/>
          <w:szCs w:val="32"/>
        </w:rPr>
        <w:t>机关运行经费预算为</w:t>
      </w:r>
      <w:r>
        <w:rPr>
          <w:rFonts w:ascii="仿宋_GB2312" w:eastAsia="仿宋_GB2312" w:hAnsi="宋体" w:hint="eastAsia"/>
          <w:sz w:val="32"/>
          <w:szCs w:val="32"/>
          <w:lang w:val="en-US" w:eastAsia="zh-CN"/>
        </w:rPr>
        <w:t>667.8</w:t>
      </w:r>
      <w:r>
        <w:rPr>
          <w:rFonts w:ascii="仿宋_GB2312" w:eastAsia="仿宋_GB2312" w:hAnsi="宋体" w:hint="eastAsia"/>
          <w:sz w:val="32"/>
          <w:szCs w:val="32"/>
        </w:rPr>
        <w:t>万元，主要包括</w:t>
      </w:r>
      <w:r>
        <w:rPr>
          <w:rFonts w:ascii="华文仿宋" w:eastAsia="华文仿宋" w:cs="华文仿宋" w:hAnsi="华文仿宋" w:hint="eastAsia"/>
          <w:sz w:val="32"/>
          <w:szCs w:val="32"/>
          <w:lang w:val="en-US" w:eastAsia="zh-CN"/>
        </w:rPr>
        <w:t>用于维持机关日常运转所必须开支的费用，例如：办公费、水电费、物业费等。</w:t>
      </w:r>
    </w:p>
    <w:p>
      <w:pPr>
        <w:spacing w:line="560" w:lineRule="exact"/>
        <w:ind w:firstLine="660"/>
        <w:rPr>
          <w:rFonts w:ascii="黑体" w:eastAsia="黑体" w:hAnsi="黑体"/>
          <w:sz w:val="32"/>
          <w:szCs w:val="32"/>
        </w:rPr>
      </w:pPr>
      <w:r>
        <w:rPr>
          <w:rFonts w:ascii="黑体" w:eastAsia="黑体" w:hAnsi="黑体" w:hint="eastAsia"/>
          <w:sz w:val="32"/>
          <w:szCs w:val="32"/>
        </w:rPr>
        <w:t>三、政府采购情况</w:t>
      </w:r>
    </w:p>
    <w:p>
      <w:pPr>
        <w:spacing w:line="560" w:lineRule="exact"/>
        <w:ind w:firstLineChars="200" w:firstLine="640"/>
        <w:rPr>
          <w:szCs w:val="21"/>
        </w:rPr>
      </w:pPr>
      <w:r>
        <w:rPr>
          <w:rFonts w:ascii="仿宋_GB2312" w:eastAsia="仿宋_GB2312" w:hint="eastAsia"/>
          <w:sz w:val="32"/>
          <w:szCs w:val="32"/>
          <w:lang w:eastAsia="zh-CN"/>
        </w:rPr>
        <w:t>2019年辽宁省卫生健康委员会</w:t>
      </w:r>
      <w:r>
        <w:rPr>
          <w:rFonts w:ascii="仿宋_GB2312" w:eastAsia="仿宋_GB2312" w:hint="eastAsia"/>
          <w:sz w:val="32"/>
          <w:szCs w:val="32"/>
        </w:rPr>
        <w:t>安排政府采购预算</w:t>
      </w:r>
      <w:r>
        <w:rPr>
          <w:rFonts w:ascii="仿宋_GB2312" w:eastAsia="仿宋_GB2312" w:hint="eastAsia"/>
          <w:sz w:val="32"/>
          <w:szCs w:val="32"/>
          <w:lang w:val="en-US" w:eastAsia="zh-CN"/>
        </w:rPr>
        <w:t>123821.3</w:t>
      </w:r>
      <w:r>
        <w:rPr>
          <w:rFonts w:ascii="仿宋_GB2312" w:eastAsia="仿宋_GB2312" w:hint="eastAsia"/>
          <w:sz w:val="32"/>
          <w:szCs w:val="32"/>
        </w:rPr>
        <w:t>万元，其中货物</w:t>
      </w:r>
      <w:r>
        <w:rPr>
          <w:rFonts w:ascii="仿宋_GB2312" w:eastAsia="仿宋_GB2312" w:hint="eastAsia"/>
          <w:sz w:val="32"/>
          <w:szCs w:val="32"/>
          <w:lang w:val="en-US" w:eastAsia="zh-CN"/>
        </w:rPr>
        <w:t>123447.2</w:t>
      </w:r>
      <w:r>
        <w:rPr>
          <w:rFonts w:ascii="仿宋_GB2312" w:eastAsia="仿宋_GB2312" w:hint="eastAsia"/>
          <w:sz w:val="32"/>
          <w:szCs w:val="32"/>
        </w:rPr>
        <w:t>万元，服务</w:t>
      </w:r>
      <w:r>
        <w:rPr>
          <w:rFonts w:ascii="仿宋_GB2312" w:eastAsia="仿宋_GB2312" w:hint="eastAsia"/>
          <w:sz w:val="32"/>
          <w:szCs w:val="32"/>
          <w:lang w:val="en-US" w:eastAsia="zh-CN"/>
        </w:rPr>
        <w:t>121.6</w:t>
      </w:r>
      <w:r>
        <w:rPr>
          <w:rFonts w:ascii="仿宋_GB2312" w:eastAsia="仿宋_GB2312" w:hint="eastAsia"/>
          <w:sz w:val="32"/>
          <w:szCs w:val="32"/>
        </w:rPr>
        <w:t>万元</w:t>
      </w:r>
      <w:r>
        <w:rPr>
          <w:rFonts w:ascii="仿宋_GB2312" w:eastAsia="仿宋_GB2312" w:hint="eastAsia"/>
          <w:sz w:val="32"/>
          <w:szCs w:val="32"/>
          <w:lang w:eastAsia="zh-CN"/>
        </w:rPr>
        <w:t>，工程</w:t>
      </w:r>
      <w:r>
        <w:rPr>
          <w:rFonts w:ascii="仿宋_GB2312" w:eastAsia="仿宋_GB2312" w:hint="eastAsia"/>
          <w:sz w:val="32"/>
          <w:szCs w:val="32"/>
          <w:lang w:val="en-US" w:eastAsia="zh-CN"/>
        </w:rPr>
        <w:t>252.5万元</w:t>
      </w:r>
      <w:r>
        <w:rPr>
          <w:rFonts w:ascii="仿宋_GB2312" w:eastAsia="仿宋_GB2312" w:hAnsi="仿宋" w:hint="eastAsia"/>
          <w:sz w:val="32"/>
          <w:szCs w:val="32"/>
        </w:rPr>
        <w:t>。</w:t>
      </w:r>
    </w:p>
    <w:p>
      <w:pPr>
        <w:spacing w:line="560" w:lineRule="exact"/>
        <w:ind w:firstLine="660"/>
        <w:rPr>
          <w:rFonts w:ascii="黑体" w:eastAsia="黑体" w:hAnsi="黑体"/>
          <w:sz w:val="32"/>
          <w:szCs w:val="32"/>
        </w:rPr>
      </w:pPr>
      <w:r>
        <w:rPr>
          <w:rFonts w:ascii="黑体" w:eastAsia="黑体" w:hAnsi="黑体" w:hint="eastAsia"/>
          <w:sz w:val="32"/>
          <w:szCs w:val="32"/>
        </w:rPr>
        <w:t>四、“三公”经费预算情况</w:t>
      </w:r>
    </w:p>
    <w:p>
      <w:pPr>
        <w:spacing w:line="560" w:lineRule="exact"/>
        <w:ind w:firstLine="660"/>
        <w:rPr>
          <w:rFonts w:ascii="仿宋_GB2312" w:eastAsia="仿宋_GB2312"/>
          <w:sz w:val="32"/>
          <w:szCs w:val="32"/>
        </w:rPr>
      </w:pPr>
      <w:r>
        <w:rPr>
          <w:rFonts w:ascii="仿宋_GB2312" w:eastAsia="仿宋_GB2312" w:hint="eastAsia"/>
          <w:sz w:val="32"/>
          <w:szCs w:val="32"/>
        </w:rPr>
        <w:t>201</w:t>
      </w:r>
      <w:r>
        <w:rPr>
          <w:rFonts w:ascii="仿宋_GB2312" w:eastAsia="仿宋_GB2312" w:hint="eastAsia"/>
          <w:sz w:val="32"/>
          <w:szCs w:val="32"/>
          <w:lang w:val="en-US" w:eastAsia="zh-CN"/>
        </w:rPr>
        <w:t>9</w:t>
      </w:r>
      <w:r>
        <w:rPr>
          <w:rFonts w:ascii="仿宋_GB2312" w:eastAsia="仿宋_GB2312" w:hint="eastAsia"/>
          <w:sz w:val="32"/>
          <w:szCs w:val="32"/>
        </w:rPr>
        <w:t>年，</w:t>
      </w:r>
      <w:r>
        <w:rPr>
          <w:rFonts w:ascii="仿宋_GB2312" w:eastAsia="仿宋_GB2312" w:hint="eastAsia"/>
          <w:sz w:val="32"/>
          <w:szCs w:val="32"/>
          <w:lang w:eastAsia="zh-CN"/>
        </w:rPr>
        <w:t>辽宁省卫生健康委员会</w:t>
      </w:r>
      <w:r>
        <w:rPr>
          <w:rFonts w:ascii="仿宋_GB2312" w:eastAsia="仿宋_GB2312" w:hint="eastAsia"/>
          <w:sz w:val="32"/>
          <w:szCs w:val="32"/>
        </w:rPr>
        <w:t>财政拨款安排的 “三公”经费预算为</w:t>
      </w:r>
      <w:r>
        <w:rPr>
          <w:rFonts w:ascii="仿宋_GB2312" w:eastAsia="仿宋_GB2312" w:hint="eastAsia"/>
          <w:sz w:val="32"/>
          <w:szCs w:val="32"/>
          <w:lang w:val="en-US" w:eastAsia="zh-CN"/>
        </w:rPr>
        <w:t>241.1</w:t>
      </w:r>
      <w:r>
        <w:rPr>
          <w:rFonts w:ascii="仿宋_GB2312" w:eastAsia="仿宋_GB2312" w:hint="eastAsia"/>
          <w:sz w:val="32"/>
          <w:szCs w:val="32"/>
        </w:rPr>
        <w:t>万元，比201</w:t>
      </w:r>
      <w:r>
        <w:rPr>
          <w:rFonts w:ascii="仿宋_GB2312" w:eastAsia="仿宋_GB2312" w:hint="eastAsia"/>
          <w:sz w:val="32"/>
          <w:szCs w:val="32"/>
          <w:lang w:val="en-US" w:eastAsia="zh-CN"/>
        </w:rPr>
        <w:t>8</w:t>
      </w:r>
      <w:r>
        <w:rPr>
          <w:rFonts w:ascii="仿宋_GB2312" w:eastAsia="仿宋_GB2312" w:hint="eastAsia"/>
          <w:sz w:val="32"/>
          <w:szCs w:val="32"/>
        </w:rPr>
        <w:t>年</w:t>
      </w:r>
      <w:r>
        <w:rPr>
          <w:rFonts w:ascii="仿宋_GB2312" w:eastAsia="仿宋_GB2312" w:hint="eastAsia"/>
          <w:sz w:val="32"/>
          <w:szCs w:val="32"/>
          <w:lang w:eastAsia="zh-CN"/>
        </w:rPr>
        <w:t>减少</w:t>
      </w:r>
      <w:r>
        <w:rPr>
          <w:rFonts w:ascii="仿宋_GB2312" w:eastAsia="仿宋_GB2312" w:hint="eastAsia"/>
          <w:sz w:val="32"/>
          <w:szCs w:val="32"/>
          <w:lang w:val="en-US" w:eastAsia="zh-CN"/>
        </w:rPr>
        <w:t>228.7</w:t>
      </w:r>
      <w:r>
        <w:rPr>
          <w:rFonts w:ascii="仿宋_GB2312" w:eastAsia="仿宋_GB2312" w:hint="eastAsia"/>
          <w:sz w:val="32"/>
          <w:szCs w:val="32"/>
        </w:rPr>
        <w:t>万元，</w:t>
      </w:r>
      <w:r>
        <w:rPr>
          <w:rFonts w:ascii="仿宋_GB2312" w:eastAsia="仿宋_GB2312" w:hint="eastAsia"/>
          <w:sz w:val="32"/>
          <w:szCs w:val="32"/>
          <w:lang w:eastAsia="zh-CN"/>
        </w:rPr>
        <w:t>降低</w:t>
      </w:r>
      <w:r>
        <w:rPr>
          <w:rFonts w:ascii="仿宋_GB2312" w:eastAsia="仿宋_GB2312" w:hint="eastAsia"/>
          <w:sz w:val="32"/>
          <w:szCs w:val="32"/>
          <w:lang w:val="en-US" w:eastAsia="zh-CN"/>
        </w:rPr>
        <w:t>48.7</w:t>
      </w:r>
      <w:r>
        <w:rPr>
          <w:rFonts w:ascii="仿宋_GB2312" w:eastAsia="仿宋_GB2312" w:hint="eastAsia"/>
          <w:sz w:val="32"/>
          <w:szCs w:val="32"/>
        </w:rPr>
        <w:t>%。其中：</w:t>
      </w:r>
    </w:p>
    <w:p>
      <w:pPr>
        <w:spacing w:line="560" w:lineRule="exact"/>
        <w:ind w:firstLine="660"/>
        <w:rPr>
          <w:rFonts w:ascii="仿宋_GB2312" w:eastAsia="仿宋_GB2312"/>
          <w:sz w:val="32"/>
          <w:szCs w:val="32"/>
        </w:rPr>
      </w:pPr>
      <w:r>
        <w:rPr>
          <w:rFonts w:ascii="仿宋_GB2312" w:eastAsia="仿宋_GB2312" w:hint="eastAsia"/>
          <w:sz w:val="32"/>
          <w:szCs w:val="32"/>
        </w:rPr>
        <w:t>1.因公出国（境）费</w:t>
      </w:r>
      <w:r>
        <w:rPr>
          <w:rFonts w:ascii="仿宋_GB2312" w:eastAsia="仿宋_GB2312" w:hint="eastAsia"/>
          <w:sz w:val="32"/>
          <w:szCs w:val="32"/>
          <w:lang w:val="en-US" w:eastAsia="zh-CN"/>
        </w:rPr>
        <w:t>29.7</w:t>
      </w:r>
      <w:r>
        <w:rPr>
          <w:rFonts w:ascii="仿宋_GB2312" w:eastAsia="仿宋_GB2312" w:hint="eastAsia"/>
          <w:sz w:val="32"/>
          <w:szCs w:val="32"/>
        </w:rPr>
        <w:t>万元，比201</w:t>
      </w:r>
      <w:r>
        <w:rPr>
          <w:rFonts w:ascii="仿宋_GB2312" w:eastAsia="仿宋_GB2312" w:hint="eastAsia"/>
          <w:sz w:val="32"/>
          <w:szCs w:val="32"/>
          <w:lang w:val="en-US" w:eastAsia="zh-CN"/>
        </w:rPr>
        <w:t>8</w:t>
      </w:r>
      <w:r>
        <w:rPr>
          <w:rFonts w:ascii="仿宋_GB2312" w:eastAsia="仿宋_GB2312" w:hint="eastAsia"/>
          <w:sz w:val="32"/>
          <w:szCs w:val="32"/>
        </w:rPr>
        <w:t>年</w:t>
      </w:r>
      <w:r>
        <w:rPr>
          <w:rFonts w:ascii="仿宋_GB2312" w:eastAsia="仿宋_GB2312" w:hint="eastAsia"/>
          <w:sz w:val="32"/>
          <w:szCs w:val="32"/>
          <w:lang w:eastAsia="zh-CN"/>
        </w:rPr>
        <w:t>减少</w:t>
      </w:r>
      <w:r>
        <w:rPr>
          <w:rFonts w:ascii="仿宋_GB2312" w:eastAsia="仿宋_GB2312" w:hint="eastAsia"/>
          <w:sz w:val="32"/>
          <w:szCs w:val="32"/>
          <w:lang w:val="en-US" w:eastAsia="zh-CN"/>
        </w:rPr>
        <w:t>24.8</w:t>
      </w:r>
      <w:r>
        <w:rPr>
          <w:rFonts w:ascii="仿宋_GB2312" w:eastAsia="仿宋_GB2312" w:hint="eastAsia"/>
          <w:sz w:val="32"/>
          <w:szCs w:val="32"/>
        </w:rPr>
        <w:t>万元</w:t>
      </w:r>
      <w:r>
        <w:rPr>
          <w:rFonts w:ascii="仿宋_GB2312" w:eastAsia="仿宋_GB2312" w:hint="eastAsia"/>
          <w:sz w:val="32"/>
          <w:szCs w:val="32"/>
          <w:lang w:eastAsia="zh-CN"/>
        </w:rPr>
        <w:t>，下降</w:t>
      </w:r>
      <w:r>
        <w:rPr>
          <w:rFonts w:ascii="仿宋_GB2312" w:eastAsia="仿宋_GB2312" w:hint="eastAsia"/>
          <w:sz w:val="32"/>
          <w:szCs w:val="32"/>
          <w:lang w:val="en-US" w:eastAsia="zh-CN"/>
        </w:rPr>
        <w:t>45.5%</w:t>
      </w:r>
      <w:r>
        <w:rPr>
          <w:rFonts w:ascii="仿宋_GB2312" w:eastAsia="仿宋_GB2312" w:hint="eastAsia"/>
          <w:sz w:val="32"/>
          <w:szCs w:val="32"/>
        </w:rPr>
        <w:t>。主要原因为</w:t>
      </w:r>
      <w:r>
        <w:rPr>
          <w:rFonts w:ascii="仿宋_GB2312" w:eastAsia="仿宋_GB2312" w:hint="eastAsia"/>
          <w:sz w:val="32"/>
          <w:szCs w:val="32"/>
          <w:lang w:eastAsia="zh-CN"/>
        </w:rPr>
        <w:t>出国任务减少所致</w:t>
      </w:r>
      <w:r>
        <w:rPr>
          <w:rFonts w:ascii="仿宋_GB2312" w:eastAsia="仿宋_GB2312" w:hint="eastAsia"/>
          <w:sz w:val="32"/>
          <w:szCs w:val="32"/>
        </w:rPr>
        <w:t>。</w:t>
      </w:r>
    </w:p>
    <w:p>
      <w:pPr>
        <w:spacing w:line="560" w:lineRule="exact"/>
        <w:ind w:firstLine="660"/>
        <w:rPr>
          <w:rFonts w:ascii="仿宋_GB2312" w:eastAsia="仿宋_GB2312"/>
          <w:sz w:val="32"/>
          <w:szCs w:val="32"/>
        </w:rPr>
      </w:pPr>
      <w:r>
        <w:rPr>
          <w:rFonts w:ascii="仿宋_GB2312" w:eastAsia="仿宋_GB2312" w:hint="eastAsia"/>
          <w:sz w:val="32"/>
          <w:szCs w:val="32"/>
        </w:rPr>
        <w:t>2.公务接待费</w:t>
      </w:r>
      <w:r>
        <w:rPr>
          <w:rFonts w:ascii="仿宋_GB2312" w:eastAsia="仿宋_GB2312" w:hint="eastAsia"/>
          <w:sz w:val="32"/>
          <w:szCs w:val="32"/>
          <w:lang w:val="en-US" w:eastAsia="zh-CN"/>
        </w:rPr>
        <w:t>19.2</w:t>
      </w:r>
      <w:r>
        <w:rPr>
          <w:rFonts w:ascii="仿宋_GB2312" w:eastAsia="仿宋_GB2312" w:hint="eastAsia"/>
          <w:sz w:val="32"/>
          <w:szCs w:val="32"/>
        </w:rPr>
        <w:t>万元，比201</w:t>
      </w:r>
      <w:r>
        <w:rPr>
          <w:rFonts w:ascii="仿宋_GB2312" w:eastAsia="仿宋_GB2312" w:hint="eastAsia"/>
          <w:sz w:val="32"/>
          <w:szCs w:val="32"/>
          <w:lang w:val="en-US" w:eastAsia="zh-CN"/>
        </w:rPr>
        <w:t>8</w:t>
      </w:r>
      <w:r>
        <w:rPr>
          <w:rFonts w:ascii="仿宋_GB2312" w:eastAsia="仿宋_GB2312" w:hint="eastAsia"/>
          <w:sz w:val="32"/>
          <w:szCs w:val="32"/>
        </w:rPr>
        <w:t>年减少</w:t>
      </w:r>
      <w:r>
        <w:rPr>
          <w:rFonts w:ascii="仿宋_GB2312" w:eastAsia="仿宋_GB2312" w:hint="eastAsia"/>
          <w:sz w:val="32"/>
          <w:szCs w:val="32"/>
          <w:lang w:val="en-US" w:eastAsia="zh-CN"/>
        </w:rPr>
        <w:t>15.2</w:t>
      </w:r>
      <w:r>
        <w:rPr>
          <w:rFonts w:ascii="仿宋_GB2312" w:eastAsia="仿宋_GB2312" w:hint="eastAsia"/>
          <w:sz w:val="32"/>
          <w:szCs w:val="32"/>
        </w:rPr>
        <w:t>万元，下降</w:t>
      </w:r>
      <w:r>
        <w:rPr>
          <w:rFonts w:ascii="仿宋_GB2312" w:eastAsia="仿宋_GB2312" w:hint="eastAsia"/>
          <w:sz w:val="32"/>
          <w:szCs w:val="32"/>
          <w:lang w:val="en-US" w:eastAsia="zh-CN"/>
        </w:rPr>
        <w:t>44</w:t>
      </w:r>
      <w:r>
        <w:rPr>
          <w:rFonts w:ascii="仿宋_GB2312" w:eastAsia="仿宋_GB2312" w:hint="eastAsia"/>
          <w:sz w:val="32"/>
          <w:szCs w:val="32"/>
        </w:rPr>
        <w:t>%。主要原因为</w:t>
      </w:r>
      <w:r>
        <w:rPr>
          <w:rFonts w:ascii="华文仿宋" w:eastAsia="华文仿宋" w:cs="华文仿宋" w:hAnsi="华文仿宋" w:hint="eastAsia"/>
          <w:sz w:val="32"/>
          <w:szCs w:val="32"/>
          <w:lang w:val="en-US" w:eastAsia="zh-CN"/>
        </w:rPr>
        <w:t>按照中央及省委、省政府关于厉行节约、公务接待从简的原则，严格控制经费支出。</w:t>
      </w:r>
    </w:p>
    <w:p>
      <w:pPr>
        <w:spacing w:line="560" w:lineRule="exact"/>
        <w:ind w:firstLine="660"/>
        <w:rPr>
          <w:rFonts w:ascii="仿宋_GB2312" w:eastAsia="仿宋_GB2312" w:hint="eastAsia"/>
          <w:sz w:val="32"/>
          <w:szCs w:val="32"/>
          <w:lang w:eastAsia="zh-CN"/>
        </w:rPr>
      </w:pPr>
      <w:r>
        <w:rPr>
          <w:rFonts w:ascii="仿宋_GB2312" w:eastAsia="仿宋_GB2312" w:hint="eastAsia"/>
          <w:sz w:val="32"/>
          <w:szCs w:val="32"/>
        </w:rPr>
        <w:t>3.公务用车购置及运行费</w:t>
      </w:r>
      <w:r>
        <w:rPr>
          <w:rFonts w:ascii="仿宋_GB2312" w:eastAsia="仿宋_GB2312" w:hint="eastAsia"/>
          <w:sz w:val="32"/>
          <w:szCs w:val="32"/>
          <w:lang w:val="en-US" w:eastAsia="zh-CN"/>
        </w:rPr>
        <w:t>192.2</w:t>
      </w:r>
      <w:r>
        <w:rPr>
          <w:rFonts w:ascii="仿宋_GB2312" w:eastAsia="仿宋_GB2312" w:hint="eastAsia"/>
          <w:sz w:val="32"/>
          <w:szCs w:val="32"/>
        </w:rPr>
        <w:t>万元（其中：公务用车购置费</w:t>
      </w:r>
      <w:r>
        <w:rPr>
          <w:rFonts w:ascii="仿宋_GB2312" w:eastAsia="仿宋_GB2312" w:hint="eastAsia"/>
          <w:sz w:val="32"/>
          <w:szCs w:val="32"/>
          <w:lang w:val="en-US" w:eastAsia="zh-CN"/>
        </w:rPr>
        <w:t>0</w:t>
      </w:r>
      <w:r>
        <w:rPr>
          <w:rFonts w:ascii="仿宋_GB2312" w:eastAsia="仿宋_GB2312" w:hint="eastAsia"/>
          <w:sz w:val="32"/>
          <w:szCs w:val="32"/>
        </w:rPr>
        <w:t>万元，</w:t>
      </w:r>
      <w:r>
        <w:rPr>
          <w:rFonts w:ascii="仿宋_GB2312" w:eastAsia="仿宋_GB2312" w:hint="eastAsia"/>
          <w:sz w:val="32"/>
          <w:szCs w:val="32"/>
          <w:lang w:eastAsia="zh-CN"/>
        </w:rPr>
        <w:t>与</w:t>
      </w:r>
      <w:r>
        <w:rPr>
          <w:rFonts w:ascii="仿宋_GB2312" w:eastAsia="仿宋_GB2312" w:hint="eastAsia"/>
          <w:sz w:val="32"/>
          <w:szCs w:val="32"/>
        </w:rPr>
        <w:t>201</w:t>
      </w:r>
      <w:r>
        <w:rPr>
          <w:rFonts w:ascii="仿宋_GB2312" w:eastAsia="仿宋_GB2312" w:hint="eastAsia"/>
          <w:sz w:val="32"/>
          <w:szCs w:val="32"/>
          <w:lang w:val="en-US" w:eastAsia="zh-CN"/>
        </w:rPr>
        <w:t>8</w:t>
      </w:r>
      <w:r>
        <w:rPr>
          <w:rFonts w:ascii="仿宋_GB2312" w:eastAsia="仿宋_GB2312" w:hint="eastAsia"/>
          <w:sz w:val="32"/>
          <w:szCs w:val="32"/>
        </w:rPr>
        <w:t>年</w:t>
      </w:r>
      <w:r>
        <w:rPr>
          <w:rFonts w:ascii="仿宋_GB2312" w:eastAsia="仿宋_GB2312" w:hint="eastAsia"/>
          <w:sz w:val="32"/>
          <w:szCs w:val="32"/>
          <w:lang w:eastAsia="zh-CN"/>
        </w:rPr>
        <w:t>持平</w:t>
      </w:r>
      <w:r>
        <w:rPr>
          <w:rFonts w:ascii="仿宋_GB2312" w:eastAsia="仿宋_GB2312" w:hint="eastAsia"/>
          <w:sz w:val="32"/>
          <w:szCs w:val="32"/>
        </w:rPr>
        <w:t>；公务用车运行费</w:t>
      </w:r>
      <w:r>
        <w:rPr>
          <w:rFonts w:ascii="仿宋_GB2312" w:eastAsia="仿宋_GB2312" w:hint="eastAsia"/>
          <w:sz w:val="32"/>
          <w:szCs w:val="32"/>
          <w:lang w:val="en-US" w:eastAsia="zh-CN"/>
        </w:rPr>
        <w:t>192.2</w:t>
      </w:r>
      <w:r>
        <w:rPr>
          <w:rFonts w:ascii="仿宋_GB2312" w:eastAsia="仿宋_GB2312" w:hint="eastAsia"/>
          <w:sz w:val="32"/>
          <w:szCs w:val="32"/>
        </w:rPr>
        <w:t>万元，比201</w:t>
      </w:r>
      <w:r>
        <w:rPr>
          <w:rFonts w:ascii="仿宋_GB2312" w:eastAsia="仿宋_GB2312" w:hint="eastAsia"/>
          <w:sz w:val="32"/>
          <w:szCs w:val="32"/>
          <w:lang w:val="en-US" w:eastAsia="zh-CN"/>
        </w:rPr>
        <w:t>8</w:t>
      </w:r>
      <w:r>
        <w:rPr>
          <w:rFonts w:ascii="仿宋_GB2312" w:eastAsia="仿宋_GB2312" w:hint="eastAsia"/>
          <w:sz w:val="32"/>
          <w:szCs w:val="32"/>
        </w:rPr>
        <w:t>年减少</w:t>
      </w:r>
      <w:r>
        <w:rPr>
          <w:rFonts w:ascii="仿宋_GB2312" w:eastAsia="仿宋_GB2312" w:hint="eastAsia"/>
          <w:sz w:val="32"/>
          <w:szCs w:val="32"/>
          <w:lang w:val="en-US" w:eastAsia="zh-CN"/>
        </w:rPr>
        <w:t>188.7</w:t>
      </w:r>
      <w:r>
        <w:rPr>
          <w:rFonts w:ascii="仿宋_GB2312" w:eastAsia="仿宋_GB2312" w:hint="eastAsia"/>
          <w:sz w:val="32"/>
          <w:szCs w:val="32"/>
        </w:rPr>
        <w:t>万元，下降</w:t>
      </w:r>
      <w:r>
        <w:rPr>
          <w:rFonts w:ascii="仿宋_GB2312" w:eastAsia="仿宋_GB2312" w:hint="eastAsia"/>
          <w:sz w:val="32"/>
          <w:szCs w:val="32"/>
          <w:lang w:val="en-US" w:eastAsia="zh-CN"/>
        </w:rPr>
        <w:t>50</w:t>
      </w:r>
      <w:r>
        <w:rPr>
          <w:rFonts w:ascii="仿宋_GB2312" w:eastAsia="仿宋_GB2312" w:hint="eastAsia"/>
          <w:sz w:val="32"/>
          <w:szCs w:val="32"/>
        </w:rPr>
        <w:t>%），比201</w:t>
      </w:r>
      <w:r>
        <w:rPr>
          <w:rFonts w:ascii="仿宋_GB2312" w:eastAsia="仿宋_GB2312" w:hint="eastAsia"/>
          <w:sz w:val="32"/>
          <w:szCs w:val="32"/>
          <w:lang w:val="en-US" w:eastAsia="zh-CN"/>
        </w:rPr>
        <w:t>8</w:t>
      </w:r>
      <w:r>
        <w:rPr>
          <w:rFonts w:ascii="仿宋_GB2312" w:eastAsia="仿宋_GB2312" w:hint="eastAsia"/>
          <w:sz w:val="32"/>
          <w:szCs w:val="32"/>
        </w:rPr>
        <w:t>年减少</w:t>
      </w:r>
      <w:r>
        <w:rPr>
          <w:rFonts w:ascii="仿宋_GB2312" w:eastAsia="仿宋_GB2312" w:hint="eastAsia"/>
          <w:sz w:val="32"/>
          <w:szCs w:val="32"/>
          <w:lang w:val="en-US" w:eastAsia="zh-CN"/>
        </w:rPr>
        <w:t>188.7</w:t>
      </w:r>
      <w:r>
        <w:rPr>
          <w:rFonts w:ascii="仿宋_GB2312" w:eastAsia="仿宋_GB2312" w:hint="eastAsia"/>
          <w:sz w:val="32"/>
          <w:szCs w:val="32"/>
        </w:rPr>
        <w:t>万元，下降</w:t>
      </w:r>
      <w:r>
        <w:rPr>
          <w:rFonts w:ascii="仿宋_GB2312" w:eastAsia="仿宋_GB2312" w:hint="eastAsia"/>
          <w:sz w:val="32"/>
          <w:szCs w:val="32"/>
          <w:lang w:val="en-US" w:eastAsia="zh-CN"/>
        </w:rPr>
        <w:t>50</w:t>
      </w:r>
      <w:r>
        <w:rPr>
          <w:rFonts w:ascii="仿宋_GB2312" w:eastAsia="仿宋_GB2312" w:hint="eastAsia"/>
          <w:sz w:val="32"/>
          <w:szCs w:val="32"/>
        </w:rPr>
        <w:t>%。主要原因</w:t>
      </w:r>
      <w:r>
        <w:rPr>
          <w:rFonts w:ascii="仿宋_GB2312" w:eastAsia="仿宋_GB2312" w:hint="eastAsia"/>
          <w:sz w:val="32"/>
          <w:szCs w:val="32"/>
          <w:lang w:eastAsia="zh-CN"/>
        </w:rPr>
        <w:t>是厉行节约、严格控制公车运行经费。</w:t>
      </w:r>
    </w:p>
    <w:p>
      <w:pPr>
        <w:spacing w:line="560" w:lineRule="exact"/>
        <w:ind w:firstLine="660"/>
        <w:rPr>
          <w:rFonts w:ascii="仿宋_GB2312" w:eastAsia="仿宋_GB2312"/>
          <w:sz w:val="32"/>
          <w:szCs w:val="32"/>
        </w:rPr>
      </w:pPr>
      <w:r>
        <w:rPr>
          <w:rFonts w:ascii="仿宋_GB2312" w:eastAsia="仿宋_GB2312" w:hint="eastAsia"/>
          <w:sz w:val="32"/>
          <w:szCs w:val="32"/>
          <w:lang w:eastAsia="zh-CN"/>
        </w:rPr>
        <w:br w:type="page"/>
      </w:r>
    </w:p>
    <w:tbl>
      <w:tblPr>
        <w:jc w:val="left"/>
        <w:tblInd w:w="93" w:type="dxa"/>
        <w:tblW w:w="8835" w:type="dxa"/>
        <w:tblBorders>
          <w:top w:val="none" w:sz="0" w:space="0" w:color="auto"/>
          <w:left w:val="none" w:sz="0" w:space="0" w:color="auto"/>
          <w:bottom w:val="none" w:sz="0" w:space="0" w:color="auto"/>
          <w:right w:val="none" w:sz="0" w:space="0" w:color="auto"/>
        </w:tblBorders>
        <w:tblLayout w:type="fixed"/>
        <w:tblCellMar>
          <w:top w:w="15" w:type="dxa"/>
          <w:left w:w="108" w:type="dxa"/>
          <w:bottom w:w="15" w:type="dxa"/>
          <w:right w:w="108" w:type="dxa"/>
        </w:tblCellMar>
        <w:tblLook w:val="0600" w:firstRow="0" w:lastRow="0" w:firstColumn="0" w:lastColumn="0" w:noHBand="1" w:noVBand="1"/>
      </w:tblPr>
      <w:tblGrid>
        <w:gridCol w:w="3423"/>
        <w:gridCol w:w="2026"/>
        <w:gridCol w:w="759"/>
        <w:gridCol w:w="2627"/>
      </w:tblGrid>
      <w:tr>
        <w:trPr>
          <w:trHeight w:val="570"/>
        </w:trPr>
        <w:tc>
          <w:tcPr>
            <w:tcW w:w="8835" w:type="dxa"/>
            <w:gridSpan w:val="4"/>
            <w:vAlign w:val="center"/>
          </w:tcPr>
          <w:p>
            <w:pPr>
              <w:widowControl/>
              <w:spacing w:line="560" w:lineRule="exact"/>
              <w:jc w:val="center"/>
              <w:rPr>
                <w:rFonts w:ascii="宋体" w:cs="宋体" w:hAnsi="宋体"/>
                <w:b/>
                <w:bCs/>
                <w:color w:val="000000"/>
                <w:kern w:val="0"/>
                <w:sz w:val="30"/>
                <w:szCs w:val="30"/>
              </w:rPr>
            </w:pPr>
            <w:r>
              <w:rPr>
                <w:rFonts w:ascii="宋体" w:cs="宋体" w:hAnsi="宋体" w:hint="eastAsia"/>
                <w:b/>
                <w:bCs/>
                <w:color w:val="000000"/>
                <w:kern w:val="0"/>
                <w:sz w:val="30"/>
                <w:szCs w:val="30"/>
                <w:lang w:eastAsia="zh-CN"/>
              </w:rPr>
              <w:t>2019年辽宁省卫生健康委员会会</w:t>
            </w:r>
            <w:r>
              <w:rPr>
                <w:rFonts w:ascii="宋体" w:cs="宋体" w:hAnsi="宋体" w:hint="eastAsia"/>
                <w:b/>
                <w:bCs/>
                <w:color w:val="000000"/>
                <w:kern w:val="0"/>
                <w:sz w:val="30"/>
                <w:szCs w:val="30"/>
              </w:rPr>
              <w:t>“三公”经费预算表</w:t>
            </w:r>
          </w:p>
        </w:tc>
      </w:tr>
      <w:tr>
        <w:trPr>
          <w:trHeight w:val="480"/>
        </w:trPr>
        <w:tc>
          <w:tcPr>
            <w:tcW w:w="3423" w:type="dxa"/>
            <w:vAlign w:val="center"/>
          </w:tcPr>
          <w:p>
            <w:pPr>
              <w:widowControl/>
              <w:spacing w:line="560" w:lineRule="exact"/>
              <w:jc w:val="left"/>
              <w:rPr>
                <w:rFonts w:ascii="宋体" w:cs="宋体" w:hAnsi="宋体"/>
                <w:color w:val="000000"/>
                <w:kern w:val="0"/>
                <w:sz w:val="24"/>
              </w:rPr>
            </w:pPr>
          </w:p>
        </w:tc>
        <w:tc>
          <w:tcPr>
            <w:tcW w:w="2026" w:type="dxa"/>
            <w:vAlign w:val="center"/>
          </w:tcPr>
          <w:p>
            <w:pPr>
              <w:widowControl/>
              <w:spacing w:line="560" w:lineRule="exact"/>
              <w:jc w:val="left"/>
              <w:rPr>
                <w:rFonts w:ascii="宋体" w:cs="宋体" w:hAnsi="宋体"/>
                <w:color w:val="000000"/>
                <w:kern w:val="0"/>
                <w:sz w:val="24"/>
              </w:rPr>
            </w:pPr>
          </w:p>
        </w:tc>
        <w:tc>
          <w:tcPr>
            <w:tcW w:w="3386" w:type="dxa"/>
            <w:gridSpan w:val="2"/>
            <w:vAlign w:val="center"/>
          </w:tcPr>
          <w:p>
            <w:pPr>
              <w:widowControl/>
              <w:spacing w:line="560" w:lineRule="exact"/>
              <w:jc w:val="right"/>
              <w:rPr>
                <w:rFonts w:ascii="宋体" w:cs="宋体" w:hAnsi="宋体"/>
                <w:color w:val="000000"/>
                <w:kern w:val="0"/>
                <w:sz w:val="24"/>
              </w:rPr>
            </w:pPr>
            <w:r>
              <w:rPr>
                <w:rFonts w:ascii="宋体" w:cs="宋体" w:hAnsi="宋体" w:hint="eastAsia"/>
                <w:color w:val="000000"/>
                <w:kern w:val="0"/>
                <w:sz w:val="24"/>
              </w:rPr>
              <w:t>单位：万元</w:t>
            </w:r>
          </w:p>
        </w:tc>
      </w:tr>
      <w:tr>
        <w:trPr>
          <w:trHeight w:val="420"/>
        </w:trPr>
        <w:tc>
          <w:tcPr>
            <w:tcW w:w="3423" w:type="dxa"/>
            <w:vMerge w:val="restart"/>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rPr>
                <w:rFonts w:ascii="宋体" w:cs="宋体" w:hAnsi="宋体"/>
                <w:b/>
                <w:bCs/>
                <w:color w:val="000000"/>
                <w:kern w:val="0"/>
                <w:sz w:val="24"/>
              </w:rPr>
            </w:pPr>
            <w:r>
              <w:rPr>
                <w:rFonts w:ascii="宋体" w:cs="宋体" w:hAnsi="宋体" w:hint="eastAsia"/>
                <w:b/>
                <w:bCs/>
                <w:color w:val="000000"/>
                <w:kern w:val="0"/>
                <w:sz w:val="24"/>
              </w:rPr>
              <w:t>项目</w:t>
            </w:r>
          </w:p>
        </w:tc>
        <w:tc>
          <w:tcPr>
            <w:tcW w:w="5412" w:type="dxa"/>
            <w:gridSpan w:val="3"/>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rPr>
                <w:rFonts w:ascii="宋体" w:cs="宋体" w:hAnsi="宋体"/>
                <w:b/>
                <w:bCs/>
                <w:color w:val="000000"/>
                <w:kern w:val="0"/>
                <w:sz w:val="24"/>
              </w:rPr>
            </w:pPr>
            <w:r>
              <w:rPr>
                <w:rFonts w:ascii="宋体" w:cs="宋体" w:hAnsi="宋体" w:hint="eastAsia"/>
                <w:b/>
                <w:bCs/>
                <w:color w:val="000000"/>
                <w:kern w:val="0"/>
                <w:sz w:val="24"/>
              </w:rPr>
              <w:t>金额</w:t>
            </w:r>
          </w:p>
        </w:tc>
      </w:tr>
      <w:tr>
        <w:trPr>
          <w:trHeight w:val="420"/>
        </w:trPr>
        <w:tc>
          <w:tcPr>
            <w:tcW w:w="3423" w:type="dxa"/>
            <w:vMerge/>
            <w:tcBorders>
              <w:top w:val="single" w:sz="4" w:space="0" w:color="000000"/>
              <w:left w:val="single" w:sz="4" w:space="0" w:color="000000"/>
              <w:bottom w:val="single" w:sz="4" w:space="0" w:color="000000"/>
              <w:right w:val="single" w:sz="4" w:space="0" w:color="000000"/>
            </w:tcBorders>
            <w:vAlign w:val="center"/>
          </w:tcPr>
          <w:p/>
        </w:tc>
        <w:tc>
          <w:tcPr>
            <w:tcW w:w="2785" w:type="dxa"/>
            <w:gridSpan w:val="2"/>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rPr>
                <w:rFonts w:ascii="宋体" w:cs="宋体" w:hAnsi="宋体"/>
                <w:b/>
                <w:bCs/>
                <w:color w:val="000000"/>
                <w:kern w:val="0"/>
                <w:sz w:val="24"/>
              </w:rPr>
            </w:pPr>
            <w:r>
              <w:rPr>
                <w:rFonts w:ascii="宋体" w:cs="宋体" w:hAnsi="宋体" w:hint="eastAsia"/>
                <w:b/>
                <w:bCs/>
                <w:color w:val="000000"/>
                <w:kern w:val="0"/>
                <w:sz w:val="24"/>
              </w:rPr>
              <w:t>2018年</w:t>
            </w:r>
          </w:p>
        </w:tc>
        <w:tc>
          <w:tcPr>
            <w:tcW w:w="2627"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rPr>
                <w:rFonts w:ascii="宋体" w:cs="宋体" w:hAnsi="宋体"/>
                <w:b/>
                <w:bCs/>
                <w:color w:val="000000"/>
                <w:kern w:val="0"/>
                <w:sz w:val="24"/>
              </w:rPr>
            </w:pPr>
            <w:r>
              <w:rPr>
                <w:rFonts w:ascii="宋体" w:cs="宋体" w:hAnsi="宋体" w:hint="eastAsia"/>
                <w:b/>
                <w:bCs/>
                <w:color w:val="000000"/>
                <w:kern w:val="0"/>
                <w:sz w:val="24"/>
              </w:rPr>
              <w:t>201</w:t>
            </w:r>
            <w:r>
              <w:rPr>
                <w:rFonts w:ascii="宋体" w:cs="宋体" w:hAnsi="宋体" w:hint="eastAsia"/>
                <w:b/>
                <w:bCs/>
                <w:color w:val="000000"/>
                <w:kern w:val="0"/>
                <w:sz w:val="24"/>
                <w:lang w:val="en-US" w:eastAsia="zh-CN"/>
              </w:rPr>
              <w:t>9</w:t>
            </w:r>
            <w:r>
              <w:rPr>
                <w:rFonts w:ascii="宋体" w:cs="宋体" w:hAnsi="宋体" w:hint="eastAsia"/>
                <w:b/>
                <w:bCs/>
                <w:color w:val="000000"/>
                <w:kern w:val="0"/>
                <w:sz w:val="24"/>
              </w:rPr>
              <w:t>年</w:t>
            </w:r>
          </w:p>
        </w:tc>
      </w:tr>
      <w:tr>
        <w:trPr>
          <w:trHeight w:val="420"/>
        </w:trPr>
        <w:tc>
          <w:tcPr>
            <w:tcW w:w="3423"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rPr>
                <w:rFonts w:ascii="宋体" w:cs="宋体" w:hAnsi="宋体"/>
                <w:b/>
                <w:bCs/>
                <w:color w:val="000000"/>
                <w:kern w:val="0"/>
                <w:sz w:val="24"/>
              </w:rPr>
            </w:pPr>
            <w:r>
              <w:rPr>
                <w:rFonts w:ascii="宋体" w:cs="宋体" w:hAnsi="宋体" w:hint="eastAsia"/>
                <w:b/>
                <w:bCs/>
                <w:color w:val="000000"/>
                <w:kern w:val="0"/>
                <w:sz w:val="24"/>
              </w:rPr>
              <w:t>合计</w:t>
            </w:r>
          </w:p>
        </w:tc>
        <w:tc>
          <w:tcPr>
            <w:tcW w:w="2785" w:type="dxa"/>
            <w:gridSpan w:val="2"/>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rPr>
                <w:rFonts w:ascii="宋体" w:eastAsia="宋体" w:cs="宋体" w:hAnsi="宋体" w:hint="eastAsia"/>
                <w:b/>
                <w:bCs/>
                <w:color w:val="000000"/>
                <w:kern w:val="0"/>
                <w:sz w:val="24"/>
                <w:lang w:val="en-US" w:eastAsia="zh-CN"/>
              </w:rPr>
            </w:pPr>
            <w:r>
              <w:rPr>
                <w:rFonts w:ascii="宋体" w:cs="宋体" w:hAnsi="宋体" w:hint="eastAsia"/>
                <w:b/>
                <w:bCs/>
                <w:color w:val="000000"/>
                <w:kern w:val="0"/>
                <w:sz w:val="24"/>
                <w:lang w:val="en-US" w:eastAsia="zh-CN"/>
              </w:rPr>
              <w:t>469.8</w:t>
            </w:r>
          </w:p>
        </w:tc>
        <w:tc>
          <w:tcPr>
            <w:tcW w:w="2627"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rPr>
                <w:rFonts w:ascii="宋体" w:eastAsia="宋体" w:cs="宋体" w:hAnsi="宋体" w:hint="eastAsia"/>
                <w:b/>
                <w:bCs/>
                <w:color w:val="000000"/>
                <w:kern w:val="0"/>
                <w:sz w:val="24"/>
                <w:lang w:val="en-US" w:eastAsia="zh-CN"/>
              </w:rPr>
            </w:pPr>
            <w:r>
              <w:rPr>
                <w:rFonts w:ascii="宋体" w:cs="宋体" w:hAnsi="宋体" w:hint="eastAsia"/>
                <w:b/>
                <w:bCs/>
                <w:color w:val="000000"/>
                <w:kern w:val="0"/>
                <w:sz w:val="24"/>
                <w:lang w:val="en-US" w:eastAsia="zh-CN"/>
              </w:rPr>
              <w:t>241.1</w:t>
            </w:r>
          </w:p>
        </w:tc>
      </w:tr>
      <w:tr>
        <w:trPr>
          <w:trHeight w:val="420"/>
        </w:trPr>
        <w:tc>
          <w:tcPr>
            <w:tcW w:w="3423"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left"/>
              <w:rPr>
                <w:rFonts w:ascii="宋体" w:cs="宋体" w:hAnsi="宋体"/>
                <w:color w:val="000000"/>
                <w:kern w:val="0"/>
                <w:sz w:val="24"/>
              </w:rPr>
            </w:pPr>
            <w:r>
              <w:rPr>
                <w:rFonts w:ascii="宋体" w:cs="宋体" w:hAnsi="宋体" w:hint="eastAsia"/>
                <w:color w:val="000000"/>
                <w:kern w:val="0"/>
                <w:sz w:val="24"/>
              </w:rPr>
              <w:t>1.因公出国（境）费</w:t>
            </w:r>
          </w:p>
        </w:tc>
        <w:tc>
          <w:tcPr>
            <w:tcW w:w="2785" w:type="dxa"/>
            <w:gridSpan w:val="2"/>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rPr>
                <w:rFonts w:ascii="宋体" w:cs="宋体" w:hAnsi="宋体"/>
                <w:color w:val="000000"/>
                <w:kern w:val="0"/>
                <w:sz w:val="24"/>
              </w:rPr>
            </w:pPr>
            <w:r>
              <w:rPr>
                <w:rFonts w:ascii="宋体" w:cs="宋体" w:hAnsi="宋体" w:hint="eastAsia"/>
                <w:color w:val="000000"/>
                <w:kern w:val="0"/>
                <w:sz w:val="24"/>
                <w:lang w:val="en-US" w:eastAsia="zh-CN"/>
              </w:rPr>
              <w:t>54.5</w:t>
            </w:r>
          </w:p>
        </w:tc>
        <w:tc>
          <w:tcPr>
            <w:tcW w:w="2627"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rPr>
                <w:rFonts w:ascii="宋体" w:eastAsia="宋体" w:cs="宋体" w:hAnsi="宋体" w:hint="eastAsia"/>
                <w:color w:val="000000"/>
                <w:kern w:val="0"/>
                <w:sz w:val="24"/>
                <w:lang w:val="en-US" w:eastAsia="zh-CN"/>
              </w:rPr>
            </w:pPr>
            <w:r>
              <w:rPr>
                <w:rFonts w:ascii="宋体" w:cs="宋体" w:hAnsi="宋体" w:hint="eastAsia"/>
                <w:color w:val="000000"/>
                <w:kern w:val="0"/>
                <w:sz w:val="24"/>
                <w:lang w:val="en-US" w:eastAsia="zh-CN"/>
              </w:rPr>
              <w:t>29.7</w:t>
            </w:r>
          </w:p>
        </w:tc>
      </w:tr>
      <w:tr>
        <w:trPr>
          <w:trHeight w:val="420"/>
        </w:trPr>
        <w:tc>
          <w:tcPr>
            <w:tcW w:w="3423"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left"/>
              <w:rPr>
                <w:rFonts w:ascii="宋体" w:cs="宋体" w:hAnsi="宋体"/>
                <w:color w:val="000000"/>
                <w:kern w:val="0"/>
                <w:sz w:val="24"/>
              </w:rPr>
            </w:pPr>
            <w:r>
              <w:rPr>
                <w:rFonts w:ascii="宋体" w:cs="宋体" w:hAnsi="宋体" w:hint="eastAsia"/>
                <w:color w:val="000000"/>
                <w:kern w:val="0"/>
                <w:sz w:val="24"/>
              </w:rPr>
              <w:t>2.公务接待费</w:t>
            </w:r>
          </w:p>
        </w:tc>
        <w:tc>
          <w:tcPr>
            <w:tcW w:w="2785" w:type="dxa"/>
            <w:gridSpan w:val="2"/>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rPr>
                <w:rFonts w:ascii="宋体" w:eastAsia="宋体" w:cs="宋体" w:hAnsi="宋体" w:hint="eastAsia"/>
                <w:color w:val="000000"/>
                <w:kern w:val="0"/>
                <w:sz w:val="24"/>
                <w:lang w:val="en-US" w:eastAsia="zh-CN"/>
              </w:rPr>
            </w:pPr>
            <w:r>
              <w:rPr>
                <w:rFonts w:ascii="宋体" w:cs="宋体" w:hAnsi="宋体" w:hint="eastAsia"/>
                <w:color w:val="000000"/>
                <w:kern w:val="0"/>
                <w:sz w:val="24"/>
                <w:lang w:val="en-US" w:eastAsia="zh-CN"/>
              </w:rPr>
              <w:t>34.4</w:t>
            </w:r>
          </w:p>
        </w:tc>
        <w:tc>
          <w:tcPr>
            <w:tcW w:w="2627"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rPr>
                <w:rFonts w:ascii="宋体" w:eastAsia="宋体" w:cs="宋体" w:hAnsi="宋体" w:hint="eastAsia"/>
                <w:color w:val="000000"/>
                <w:kern w:val="0"/>
                <w:sz w:val="24"/>
                <w:lang w:val="en-US" w:eastAsia="zh-CN"/>
              </w:rPr>
            </w:pPr>
            <w:r>
              <w:rPr>
                <w:rFonts w:ascii="宋体" w:cs="宋体" w:hAnsi="宋体" w:hint="eastAsia"/>
                <w:color w:val="000000"/>
                <w:kern w:val="0"/>
                <w:sz w:val="24"/>
                <w:lang w:val="en-US" w:eastAsia="zh-CN"/>
              </w:rPr>
              <w:t>19.2</w:t>
            </w:r>
          </w:p>
        </w:tc>
      </w:tr>
      <w:tr>
        <w:trPr>
          <w:trHeight w:val="420"/>
        </w:trPr>
        <w:tc>
          <w:tcPr>
            <w:tcW w:w="3423"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left"/>
              <w:rPr>
                <w:rFonts w:ascii="宋体" w:cs="宋体" w:hAnsi="宋体"/>
                <w:color w:val="000000"/>
                <w:kern w:val="0"/>
                <w:sz w:val="24"/>
              </w:rPr>
            </w:pPr>
            <w:r>
              <w:rPr>
                <w:rFonts w:ascii="宋体" w:cs="宋体" w:hAnsi="宋体" w:hint="eastAsia"/>
                <w:color w:val="000000"/>
                <w:kern w:val="0"/>
                <w:sz w:val="24"/>
              </w:rPr>
              <w:t>3.公务用车购置及运行费</w:t>
            </w:r>
          </w:p>
        </w:tc>
        <w:tc>
          <w:tcPr>
            <w:tcW w:w="2785" w:type="dxa"/>
            <w:gridSpan w:val="2"/>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rPr>
                <w:rFonts w:ascii="宋体" w:eastAsia="宋体" w:cs="宋体" w:hAnsi="宋体" w:hint="eastAsia"/>
                <w:color w:val="000000"/>
                <w:kern w:val="0"/>
                <w:sz w:val="24"/>
                <w:lang w:val="en-US" w:eastAsia="zh-CN"/>
              </w:rPr>
            </w:pPr>
            <w:r>
              <w:rPr>
                <w:rFonts w:ascii="宋体" w:cs="宋体" w:hAnsi="宋体" w:hint="eastAsia"/>
                <w:color w:val="000000"/>
                <w:kern w:val="0"/>
                <w:sz w:val="24"/>
                <w:lang w:val="en-US" w:eastAsia="zh-CN"/>
              </w:rPr>
              <w:t>380.9</w:t>
            </w:r>
          </w:p>
        </w:tc>
        <w:tc>
          <w:tcPr>
            <w:tcW w:w="2627"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rPr>
                <w:rFonts w:ascii="宋体" w:eastAsia="宋体" w:cs="宋体" w:hAnsi="宋体" w:hint="eastAsia"/>
                <w:color w:val="000000"/>
                <w:kern w:val="0"/>
                <w:sz w:val="24"/>
                <w:lang w:val="en-US" w:eastAsia="zh-CN"/>
              </w:rPr>
            </w:pPr>
            <w:r>
              <w:rPr>
                <w:rFonts w:ascii="宋体" w:cs="宋体" w:hAnsi="宋体" w:hint="eastAsia"/>
                <w:color w:val="000000"/>
                <w:kern w:val="0"/>
                <w:sz w:val="24"/>
                <w:lang w:val="en-US" w:eastAsia="zh-CN"/>
              </w:rPr>
              <w:t>192.2</w:t>
            </w:r>
          </w:p>
        </w:tc>
      </w:tr>
      <w:tr>
        <w:trPr>
          <w:trHeight w:val="420"/>
        </w:trPr>
        <w:tc>
          <w:tcPr>
            <w:tcW w:w="3423"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left"/>
              <w:rPr>
                <w:rFonts w:ascii="宋体" w:cs="宋体" w:hAnsi="宋体"/>
                <w:color w:val="000000"/>
                <w:kern w:val="0"/>
                <w:sz w:val="24"/>
              </w:rPr>
            </w:pPr>
            <w:r>
              <w:rPr>
                <w:rFonts w:ascii="宋体" w:cs="宋体" w:hAnsi="宋体" w:hint="eastAsia"/>
                <w:color w:val="000000"/>
                <w:kern w:val="0"/>
                <w:sz w:val="24"/>
              </w:rPr>
              <w:t xml:space="preserve"> 其中：公务用车购置费</w:t>
            </w:r>
          </w:p>
        </w:tc>
        <w:tc>
          <w:tcPr>
            <w:tcW w:w="2785" w:type="dxa"/>
            <w:gridSpan w:val="2"/>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left"/>
              <w:rPr>
                <w:rFonts w:ascii="宋体" w:cs="宋体" w:hAnsi="宋体"/>
                <w:color w:val="000000"/>
                <w:kern w:val="0"/>
                <w:sz w:val="24"/>
              </w:rPr>
            </w:pPr>
          </w:p>
        </w:tc>
        <w:tc>
          <w:tcPr>
            <w:tcW w:w="2627"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left"/>
              <w:rPr>
                <w:rFonts w:ascii="宋体" w:cs="宋体" w:hAnsi="宋体"/>
                <w:color w:val="000000"/>
                <w:kern w:val="0"/>
                <w:sz w:val="24"/>
              </w:rPr>
            </w:pPr>
          </w:p>
        </w:tc>
      </w:tr>
      <w:tr>
        <w:trPr>
          <w:trHeight w:val="420"/>
        </w:trPr>
        <w:tc>
          <w:tcPr>
            <w:tcW w:w="3423"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left"/>
              <w:rPr>
                <w:rFonts w:ascii="宋体" w:cs="宋体" w:hAnsi="宋体"/>
                <w:color w:val="000000"/>
                <w:kern w:val="0"/>
                <w:sz w:val="24"/>
              </w:rPr>
            </w:pPr>
            <w:r>
              <w:rPr>
                <w:rFonts w:ascii="宋体" w:cs="宋体" w:hAnsi="宋体" w:hint="eastAsia"/>
                <w:color w:val="000000"/>
                <w:kern w:val="0"/>
                <w:sz w:val="24"/>
              </w:rPr>
              <w:t xml:space="preserve">       公务用车运行费</w:t>
            </w:r>
          </w:p>
        </w:tc>
        <w:tc>
          <w:tcPr>
            <w:tcW w:w="2785" w:type="dxa"/>
            <w:gridSpan w:val="2"/>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rPr>
                <w:rFonts w:ascii="宋体" w:eastAsia="宋体" w:cs="宋体" w:hAnsi="宋体" w:hint="eastAsia"/>
                <w:color w:val="000000"/>
                <w:kern w:val="0"/>
                <w:sz w:val="24"/>
                <w:lang w:val="en-US" w:eastAsia="zh-CN"/>
              </w:rPr>
            </w:pPr>
            <w:r>
              <w:rPr>
                <w:rFonts w:ascii="宋体" w:cs="宋体" w:hAnsi="宋体" w:hint="eastAsia"/>
                <w:color w:val="000000"/>
                <w:kern w:val="0"/>
                <w:sz w:val="24"/>
                <w:lang w:val="en-US" w:eastAsia="zh-CN"/>
              </w:rPr>
              <w:t>380.9</w:t>
            </w:r>
          </w:p>
        </w:tc>
        <w:tc>
          <w:tcPr>
            <w:tcW w:w="2627"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rPr>
                <w:rFonts w:ascii="宋体" w:eastAsia="宋体" w:cs="宋体" w:hAnsi="宋体" w:hint="eastAsia"/>
                <w:color w:val="000000"/>
                <w:kern w:val="0"/>
                <w:sz w:val="24"/>
                <w:lang w:val="en-US" w:eastAsia="zh-CN"/>
              </w:rPr>
            </w:pPr>
            <w:r>
              <w:rPr>
                <w:rFonts w:ascii="宋体" w:cs="宋体" w:hAnsi="宋体" w:hint="eastAsia"/>
                <w:color w:val="000000"/>
                <w:kern w:val="0"/>
                <w:sz w:val="24"/>
                <w:lang w:val="en-US" w:eastAsia="zh-CN"/>
              </w:rPr>
              <w:t>192.2</w:t>
            </w:r>
          </w:p>
        </w:tc>
      </w:tr>
    </w:tbl>
    <w:p>
      <w:pPr>
        <w:spacing w:line="560" w:lineRule="exact"/>
        <w:ind w:firstLineChars="200" w:firstLine="640"/>
        <w:rPr>
          <w:rFonts w:ascii="仿宋_GB2312" w:eastAsia="仿宋_GB2312" w:hAnsi="宋体"/>
          <w:sz w:val="32"/>
          <w:szCs w:val="32"/>
        </w:rPr>
      </w:pPr>
      <w:r>
        <w:rPr>
          <w:rFonts w:ascii="黑体" w:eastAsia="黑体" w:hAnsi="黑体" w:hint="eastAsia"/>
          <w:sz w:val="32"/>
          <w:szCs w:val="32"/>
        </w:rPr>
        <w:t>五、国有资产占用情况</w:t>
      </w:r>
    </w:p>
    <w:p>
      <w:pPr>
        <w:spacing w:line="560" w:lineRule="exact"/>
        <w:rPr>
          <w:rFonts w:ascii="仿宋_GB2312" w:eastAsia="仿宋_GB2312" w:hAnsi="宋体"/>
          <w:sz w:val="32"/>
          <w:szCs w:val="32"/>
        </w:rPr>
      </w:pPr>
      <w:r>
        <w:rPr>
          <w:rFonts w:ascii="仿宋" w:eastAsia="仿宋" w:hAnsi="仿宋" w:hint="eastAsia"/>
          <w:b/>
          <w:sz w:val="32"/>
          <w:szCs w:val="32"/>
        </w:rPr>
        <w:t xml:space="preserve">  </w:t>
      </w:r>
      <w:r>
        <w:rPr>
          <w:rFonts w:ascii="仿宋_GB2312" w:eastAsia="仿宋_GB2312" w:hAnsi="宋体" w:hint="eastAsia"/>
          <w:sz w:val="32"/>
          <w:szCs w:val="32"/>
        </w:rPr>
        <w:t xml:space="preserve">  </w:t>
      </w:r>
      <w:r>
        <w:rPr>
          <w:rFonts w:ascii="仿宋_GB2312" w:eastAsia="仿宋_GB2312" w:hAnsi="宋体" w:hint="eastAsia"/>
          <w:sz w:val="32"/>
          <w:szCs w:val="32"/>
          <w:lang w:eastAsia="zh-CN"/>
        </w:rPr>
        <w:t>辽宁省卫生健康委员会</w:t>
      </w:r>
      <w:r>
        <w:rPr>
          <w:rFonts w:ascii="仿宋_GB2312" w:eastAsia="仿宋_GB2312" w:hAnsi="宋体" w:hint="eastAsia"/>
          <w:sz w:val="32"/>
          <w:szCs w:val="32"/>
        </w:rPr>
        <w:t>201</w:t>
      </w:r>
      <w:r>
        <w:rPr>
          <w:rFonts w:ascii="仿宋_GB2312" w:eastAsia="仿宋_GB2312" w:hAnsi="宋体" w:hint="eastAsia"/>
          <w:sz w:val="32"/>
          <w:szCs w:val="32"/>
          <w:lang w:val="en-US" w:eastAsia="zh-CN"/>
        </w:rPr>
        <w:t>9</w:t>
      </w:r>
      <w:r>
        <w:rPr>
          <w:rFonts w:ascii="仿宋_GB2312" w:eastAsia="仿宋_GB2312" w:hAnsi="宋体" w:hint="eastAsia"/>
          <w:sz w:val="32"/>
          <w:szCs w:val="32"/>
        </w:rPr>
        <w:t>年年初预算</w:t>
      </w:r>
      <w:r>
        <w:rPr>
          <w:rFonts w:ascii="仿宋_GB2312" w:eastAsia="仿宋_GB2312" w:hAnsi="宋体" w:hint="eastAsia"/>
          <w:sz w:val="32"/>
          <w:szCs w:val="32"/>
          <w:lang w:eastAsia="zh-CN"/>
        </w:rPr>
        <w:t>无</w:t>
      </w:r>
      <w:r>
        <w:rPr>
          <w:rFonts w:ascii="仿宋_GB2312" w:eastAsia="仿宋_GB2312" w:hAnsi="宋体" w:hint="eastAsia"/>
          <w:sz w:val="32"/>
          <w:szCs w:val="32"/>
        </w:rPr>
        <w:t>购置车辆</w:t>
      </w:r>
      <w:r>
        <w:rPr>
          <w:rFonts w:ascii="仿宋_GB2312" w:eastAsia="仿宋_GB2312" w:hAnsi="宋体" w:hint="eastAsia"/>
          <w:sz w:val="32"/>
          <w:szCs w:val="32"/>
          <w:lang w:eastAsia="zh-CN"/>
        </w:rPr>
        <w:t>预算。</w:t>
      </w:r>
    </w:p>
    <w:p>
      <w:pPr>
        <w:spacing w:line="560" w:lineRule="exact"/>
        <w:ind w:firstLineChars="200" w:firstLine="640"/>
        <w:rPr>
          <w:rFonts w:ascii="黑体" w:eastAsia="黑体" w:hAnsi="黑体"/>
          <w:sz w:val="32"/>
          <w:szCs w:val="32"/>
        </w:rPr>
      </w:pPr>
      <w:r>
        <w:rPr>
          <w:rFonts w:ascii="黑体" w:eastAsia="黑体" w:hAnsi="黑体" w:hint="eastAsia"/>
          <w:sz w:val="32"/>
          <w:szCs w:val="32"/>
        </w:rPr>
        <w:t>六、项目预算绩效目标情况</w:t>
      </w:r>
    </w:p>
    <w:p>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根据预算绩效管理要求，</w:t>
      </w:r>
      <w:r>
        <w:rPr>
          <w:rFonts w:ascii="仿宋_GB2312" w:eastAsia="仿宋_GB2312" w:hAnsi="宋体" w:hint="eastAsia"/>
          <w:sz w:val="32"/>
          <w:szCs w:val="32"/>
          <w:lang w:eastAsia="zh-CN"/>
        </w:rPr>
        <w:t>辽宁省卫生健康委员会</w:t>
      </w:r>
      <w:r>
        <w:rPr>
          <w:rFonts w:ascii="仿宋_GB2312" w:eastAsia="仿宋_GB2312" w:hAnsi="宋体" w:hint="eastAsia"/>
          <w:sz w:val="32"/>
          <w:szCs w:val="32"/>
        </w:rPr>
        <w:t>201</w:t>
      </w:r>
      <w:r>
        <w:rPr>
          <w:rFonts w:ascii="仿宋_GB2312" w:eastAsia="仿宋_GB2312" w:hAnsi="宋体" w:hint="eastAsia"/>
          <w:sz w:val="32"/>
          <w:szCs w:val="32"/>
          <w:lang w:val="en-US" w:eastAsia="zh-CN"/>
        </w:rPr>
        <w:t>9</w:t>
      </w:r>
      <w:r>
        <w:rPr>
          <w:rFonts w:ascii="仿宋_GB2312" w:eastAsia="仿宋_GB2312" w:hAnsi="宋体" w:hint="eastAsia"/>
          <w:sz w:val="32"/>
          <w:szCs w:val="32"/>
        </w:rPr>
        <w:t>年应编制绩效目标的项目共</w:t>
      </w:r>
      <w:r>
        <w:rPr>
          <w:rFonts w:ascii="仿宋_GB2312" w:eastAsia="仿宋_GB2312" w:hAnsi="宋体" w:hint="eastAsia"/>
          <w:sz w:val="32"/>
          <w:szCs w:val="32"/>
          <w:lang w:val="en-US" w:eastAsia="zh-CN"/>
        </w:rPr>
        <w:t>14</w:t>
      </w:r>
      <w:r>
        <w:rPr>
          <w:rFonts w:ascii="仿宋_GB2312" w:eastAsia="仿宋_GB2312" w:hAnsi="宋体" w:hint="eastAsia"/>
          <w:sz w:val="32"/>
          <w:szCs w:val="32"/>
        </w:rPr>
        <w:t>个，实际编制绩效目标的项目共</w:t>
      </w:r>
      <w:r>
        <w:rPr>
          <w:rFonts w:ascii="仿宋_GB2312" w:eastAsia="仿宋_GB2312" w:hAnsi="宋体" w:hint="eastAsia"/>
          <w:sz w:val="32"/>
          <w:szCs w:val="32"/>
          <w:lang w:val="en-US" w:eastAsia="zh-CN"/>
        </w:rPr>
        <w:t>14</w:t>
      </w:r>
      <w:r>
        <w:rPr>
          <w:rFonts w:ascii="仿宋_GB2312" w:eastAsia="仿宋_GB2312" w:hAnsi="宋体" w:hint="eastAsia"/>
          <w:sz w:val="32"/>
          <w:szCs w:val="32"/>
        </w:rPr>
        <w:t>个，涉及资金</w:t>
      </w:r>
      <w:r>
        <w:rPr>
          <w:rFonts w:ascii="仿宋_GB2312" w:eastAsia="仿宋_GB2312" w:hAnsi="宋体" w:hint="eastAsia"/>
          <w:sz w:val="32"/>
          <w:szCs w:val="32"/>
          <w:lang w:val="en-US" w:eastAsia="zh-CN"/>
        </w:rPr>
        <w:t>211179.4</w:t>
      </w:r>
      <w:r>
        <w:rPr>
          <w:rFonts w:ascii="仿宋_GB2312" w:eastAsia="仿宋_GB2312" w:hAnsi="宋体" w:hint="eastAsia"/>
          <w:sz w:val="32"/>
          <w:szCs w:val="32"/>
        </w:rPr>
        <w:t>万元，编制绩效目标的项目覆盖率（实际编制绩效目标的项目/应编制绩效目标的项目）为</w:t>
      </w:r>
      <w:r>
        <w:rPr>
          <w:rFonts w:ascii="仿宋_GB2312" w:eastAsia="仿宋_GB2312" w:hAnsi="宋体" w:hint="eastAsia"/>
          <w:sz w:val="32"/>
          <w:szCs w:val="32"/>
          <w:lang w:val="en-US" w:eastAsia="zh-CN"/>
        </w:rPr>
        <w:t>100</w:t>
      </w:r>
      <w:r>
        <w:rPr>
          <w:rFonts w:ascii="仿宋_GB2312" w:eastAsia="仿宋_GB2312" w:hAnsi="宋体" w:hint="eastAsia"/>
          <w:sz w:val="32"/>
          <w:szCs w:val="32"/>
        </w:rPr>
        <w:t>%。</w:t>
      </w:r>
    </w:p>
    <w:p>
      <w:pPr>
        <w:spacing w:line="560" w:lineRule="exact"/>
        <w:rPr>
          <w:rFonts w:ascii="仿宋_GB2312" w:eastAsia="仿宋_GB2312" w:hAnsi="宋体"/>
          <w:sz w:val="32"/>
          <w:szCs w:val="32"/>
        </w:rPr>
      </w:pPr>
    </w:p>
    <w:p>
      <w:pPr>
        <w:spacing w:line="560" w:lineRule="exact"/>
        <w:jc w:val="center"/>
        <w:rPr>
          <w:rFonts w:ascii="仿宋_GB2312" w:eastAsia="仿宋_GB2312" w:hAnsi="宋体"/>
          <w:sz w:val="32"/>
          <w:szCs w:val="32"/>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r>
        <w:rPr>
          <w:rFonts w:ascii="宋体" w:hAnsi="宋体" w:hint="eastAsia"/>
          <w:b/>
          <w:sz w:val="36"/>
          <w:szCs w:val="36"/>
        </w:rPr>
        <w:br w:type="page"/>
        <w:t>第</w:t>
      </w:r>
      <w:r>
        <w:rPr>
          <w:rFonts w:ascii="宋体" w:hAnsi="宋体" w:hint="eastAsia"/>
          <w:b/>
          <w:sz w:val="36"/>
          <w:szCs w:val="36"/>
          <w:lang w:eastAsia="zh-CN"/>
        </w:rPr>
        <w:t>五</w:t>
      </w:r>
      <w:r>
        <w:rPr>
          <w:rFonts w:ascii="宋体" w:hAnsi="宋体" w:hint="eastAsia"/>
          <w:b/>
          <w:sz w:val="36"/>
          <w:szCs w:val="36"/>
        </w:rPr>
        <w:t>部分 名词解释</w:t>
      </w:r>
    </w:p>
    <w:p>
      <w:pPr>
        <w:spacing w:line="560" w:lineRule="exact"/>
        <w:jc w:val="center"/>
        <w:rPr>
          <w:rFonts w:ascii="仿宋_GB2312" w:eastAsia="仿宋_GB2312"/>
          <w:sz w:val="32"/>
          <w:szCs w:val="32"/>
        </w:rPr>
      </w:pPr>
    </w:p>
    <w:p>
      <w:pPr>
        <w:ind w:left="0" w:firstLineChars="200" w:firstLine="640"/>
        <w:jc w:val="both"/>
        <w:rPr>
          <w:rFonts w:ascii="华文仿宋" w:eastAsia="华文仿宋" w:cs="华文仿宋" w:hAnsi="华文仿宋" w:hint="eastAsia"/>
          <w:sz w:val="32"/>
          <w:szCs w:val="32"/>
        </w:rPr>
      </w:pPr>
      <w:r>
        <w:rPr>
          <w:rFonts w:ascii="华文仿宋" w:eastAsia="华文仿宋" w:cs="华文仿宋" w:hAnsi="华文仿宋" w:hint="eastAsia"/>
          <w:b/>
          <w:bCs/>
          <w:sz w:val="32"/>
          <w:szCs w:val="32"/>
          <w:lang w:val="en-US" w:eastAsia="zh-CN"/>
        </w:rPr>
        <w:t>1.</w:t>
      </w:r>
      <w:r>
        <w:rPr>
          <w:rFonts w:ascii="华文仿宋" w:eastAsia="华文仿宋" w:cs="华文仿宋" w:hAnsi="华文仿宋" w:hint="eastAsia"/>
          <w:b/>
          <w:bCs/>
          <w:sz w:val="32"/>
          <w:szCs w:val="32"/>
        </w:rPr>
        <w:t>财政拨款收入</w:t>
      </w:r>
      <w:r>
        <w:rPr>
          <w:rFonts w:ascii="华文仿宋" w:eastAsia="华文仿宋" w:cs="华文仿宋" w:hAnsi="华文仿宋" w:hint="eastAsia"/>
          <w:sz w:val="32"/>
          <w:szCs w:val="32"/>
        </w:rPr>
        <w:t xml:space="preserve">：指省级财政当年拨付的资金。 </w:t>
      </w:r>
    </w:p>
    <w:p>
      <w:pPr>
        <w:ind w:left="0" w:firstLineChars="200" w:firstLine="640"/>
        <w:jc w:val="both"/>
        <w:rPr>
          <w:rFonts w:ascii="华文仿宋" w:eastAsia="华文仿宋" w:cs="华文仿宋" w:hAnsi="华文仿宋" w:hint="eastAsia"/>
          <w:sz w:val="32"/>
          <w:szCs w:val="32"/>
          <w:lang w:val="en-US" w:eastAsia="zh-CN"/>
        </w:rPr>
      </w:pPr>
      <w:r>
        <w:rPr>
          <w:rFonts w:ascii="华文仿宋" w:eastAsia="华文仿宋" w:cs="华文仿宋" w:hAnsi="华文仿宋" w:hint="eastAsia"/>
          <w:b/>
          <w:bCs/>
          <w:sz w:val="32"/>
          <w:szCs w:val="32"/>
        </w:rPr>
        <w:t>2.事业收入：</w:t>
      </w:r>
      <w:r>
        <w:rPr>
          <w:rFonts w:ascii="华文仿宋" w:eastAsia="华文仿宋" w:cs="华文仿宋" w:hAnsi="华文仿宋" w:hint="eastAsia"/>
          <w:sz w:val="32"/>
          <w:szCs w:val="32"/>
        </w:rPr>
        <w:t>指事业单位开展专业业务活动及辅助活动 所取得的收入。</w:t>
      </w:r>
    </w:p>
    <w:p>
      <w:pPr>
        <w:ind w:left="0" w:firstLineChars="200" w:firstLine="640"/>
        <w:jc w:val="both"/>
        <w:rPr>
          <w:rFonts w:ascii="华文仿宋" w:eastAsia="华文仿宋" w:cs="华文仿宋" w:hAnsi="华文仿宋" w:hint="eastAsia"/>
          <w:sz w:val="32"/>
          <w:szCs w:val="32"/>
        </w:rPr>
      </w:pPr>
      <w:r>
        <w:rPr>
          <w:rFonts w:ascii="华文仿宋" w:eastAsia="华文仿宋" w:cs="华文仿宋" w:hAnsi="华文仿宋" w:hint="eastAsia"/>
          <w:b/>
          <w:bCs/>
          <w:sz w:val="32"/>
          <w:szCs w:val="32"/>
        </w:rPr>
        <w:t>3. 经营收入：</w:t>
      </w:r>
      <w:r>
        <w:rPr>
          <w:rFonts w:ascii="华文仿宋" w:eastAsia="华文仿宋" w:cs="华文仿宋" w:hAnsi="华文仿宋" w:hint="eastAsia"/>
          <w:sz w:val="32"/>
          <w:szCs w:val="32"/>
        </w:rPr>
        <w:t xml:space="preserve">指事业单位在专业业务活动及辅助活动之 外开展非独立核算经营活动取得的收入。 </w:t>
      </w:r>
    </w:p>
    <w:p>
      <w:pPr>
        <w:ind w:left="0" w:firstLineChars="200" w:firstLine="640"/>
        <w:jc w:val="both"/>
        <w:rPr>
          <w:rFonts w:ascii="华文仿宋" w:eastAsia="华文仿宋" w:cs="华文仿宋" w:hAnsi="华文仿宋" w:hint="eastAsia"/>
          <w:sz w:val="32"/>
          <w:szCs w:val="32"/>
        </w:rPr>
      </w:pPr>
      <w:r>
        <w:rPr>
          <w:rFonts w:ascii="华文仿宋" w:eastAsia="华文仿宋" w:cs="华文仿宋" w:hAnsi="华文仿宋" w:hint="eastAsia"/>
          <w:sz w:val="32"/>
          <w:szCs w:val="32"/>
        </w:rPr>
        <w:t>4.</w:t>
      </w:r>
      <w:r>
        <w:rPr>
          <w:rFonts w:ascii="华文仿宋" w:eastAsia="华文仿宋" w:cs="华文仿宋" w:hAnsi="华文仿宋" w:hint="eastAsia"/>
          <w:b/>
          <w:bCs/>
          <w:sz w:val="32"/>
          <w:szCs w:val="32"/>
        </w:rPr>
        <w:t>其他收入：</w:t>
      </w:r>
      <w:r>
        <w:rPr>
          <w:rFonts w:ascii="华文仿宋" w:eastAsia="华文仿宋" w:cs="华文仿宋" w:hAnsi="华文仿宋" w:hint="eastAsia"/>
          <w:sz w:val="32"/>
          <w:szCs w:val="32"/>
        </w:rPr>
        <w:t>指除上述“财政拨款收入”、“上级补助收入”、“事业收入”、“经营收入”、“附属单位上缴收入”等以外的收入。</w:t>
      </w:r>
    </w:p>
    <w:p>
      <w:pPr>
        <w:ind w:left="0" w:firstLineChars="200" w:firstLine="640"/>
        <w:jc w:val="both"/>
        <w:rPr>
          <w:rFonts w:ascii="华文仿宋" w:eastAsia="华文仿宋" w:cs="华文仿宋" w:hAnsi="华文仿宋" w:hint="eastAsia"/>
          <w:sz w:val="32"/>
          <w:szCs w:val="32"/>
        </w:rPr>
      </w:pPr>
      <w:r>
        <w:rPr>
          <w:rFonts w:ascii="华文仿宋" w:eastAsia="华文仿宋" w:cs="华文仿宋" w:hAnsi="华文仿宋" w:hint="eastAsia"/>
          <w:b/>
          <w:bCs/>
          <w:sz w:val="32"/>
          <w:szCs w:val="32"/>
        </w:rPr>
        <w:t>5.基本支出：</w:t>
      </w:r>
      <w:r>
        <w:rPr>
          <w:rFonts w:ascii="华文仿宋" w:eastAsia="华文仿宋" w:cs="华文仿宋" w:hAnsi="华文仿宋" w:hint="eastAsia"/>
          <w:sz w:val="32"/>
          <w:szCs w:val="32"/>
        </w:rPr>
        <w:t>指保障机构正常运转、完成日常工作任务 而发生的人员支出和公用支出。</w:t>
      </w:r>
    </w:p>
    <w:p>
      <w:pPr>
        <w:ind w:left="0" w:firstLineChars="200" w:firstLine="640"/>
        <w:jc w:val="both"/>
        <w:rPr>
          <w:rFonts w:ascii="华文仿宋" w:eastAsia="华文仿宋" w:cs="华文仿宋" w:hAnsi="华文仿宋" w:hint="eastAsia"/>
          <w:sz w:val="32"/>
          <w:szCs w:val="32"/>
        </w:rPr>
      </w:pPr>
      <w:r>
        <w:rPr>
          <w:rFonts w:ascii="华文仿宋" w:eastAsia="华文仿宋" w:cs="华文仿宋" w:hAnsi="华文仿宋" w:hint="eastAsia"/>
          <w:b/>
          <w:bCs/>
          <w:sz w:val="32"/>
          <w:szCs w:val="32"/>
        </w:rPr>
        <w:t>6.</w:t>
      </w:r>
      <w:r>
        <w:rPr>
          <w:rFonts w:ascii="华文仿宋" w:eastAsia="华文仿宋" w:cs="华文仿宋" w:hAnsi="华文仿宋" w:hint="eastAsia"/>
          <w:sz w:val="32"/>
          <w:szCs w:val="32"/>
        </w:rPr>
        <w:t xml:space="preserve"> </w:t>
      </w:r>
      <w:r>
        <w:rPr>
          <w:rFonts w:ascii="华文仿宋" w:eastAsia="华文仿宋" w:cs="华文仿宋" w:hAnsi="华文仿宋" w:hint="eastAsia"/>
          <w:b/>
          <w:bCs/>
          <w:sz w:val="32"/>
          <w:szCs w:val="32"/>
        </w:rPr>
        <w:t>项目支出</w:t>
      </w:r>
      <w:r>
        <w:rPr>
          <w:rFonts w:ascii="华文仿宋" w:eastAsia="华文仿宋" w:cs="华文仿宋" w:hAnsi="华文仿宋" w:hint="eastAsia"/>
          <w:sz w:val="32"/>
          <w:szCs w:val="32"/>
        </w:rPr>
        <w:t xml:space="preserve">：指在基本支出之外为完成特定行政任务和 事业发展目标所发生的支出。 </w:t>
      </w:r>
    </w:p>
    <w:p>
      <w:pPr>
        <w:ind w:left="0" w:firstLineChars="200" w:firstLine="640"/>
        <w:jc w:val="both"/>
        <w:rPr>
          <w:rFonts w:ascii="华文仿宋" w:eastAsia="华文仿宋" w:cs="华文仿宋" w:hAnsi="华文仿宋" w:hint="eastAsia"/>
          <w:sz w:val="32"/>
          <w:szCs w:val="32"/>
        </w:rPr>
      </w:pPr>
      <w:r>
        <w:rPr>
          <w:rFonts w:ascii="华文仿宋" w:eastAsia="华文仿宋" w:cs="华文仿宋" w:hAnsi="华文仿宋" w:hint="eastAsia"/>
          <w:b/>
          <w:bCs/>
          <w:sz w:val="32"/>
          <w:szCs w:val="32"/>
        </w:rPr>
        <w:t>7.</w:t>
      </w:r>
      <w:r>
        <w:rPr>
          <w:rFonts w:ascii="华文仿宋" w:eastAsia="华文仿宋" w:cs="华文仿宋" w:hAnsi="华文仿宋" w:hint="eastAsia"/>
          <w:sz w:val="32"/>
          <w:szCs w:val="32"/>
        </w:rPr>
        <w:t xml:space="preserve"> </w:t>
      </w:r>
      <w:r>
        <w:rPr>
          <w:rFonts w:ascii="华文仿宋" w:eastAsia="华文仿宋" w:cs="华文仿宋" w:hAnsi="华文仿宋" w:hint="eastAsia"/>
          <w:b/>
          <w:bCs/>
          <w:sz w:val="32"/>
          <w:szCs w:val="32"/>
        </w:rPr>
        <w:t>“三公”经费</w:t>
      </w:r>
      <w:r>
        <w:rPr>
          <w:rFonts w:ascii="华文仿宋" w:eastAsia="华文仿宋" w:cs="华文仿宋" w:hAnsi="华文仿宋" w:hint="eastAsia"/>
          <w:sz w:val="32"/>
          <w:szCs w:val="32"/>
        </w:rPr>
        <w:t>：指用财政拨款安排的因公出国（境） 费、公务用车购置及运行费和公务接待费。其中，因公出国 （境）费反映单位公务出国（境）的住宿费、旅费、伙食补 助费、杂费、培训费等支出；公务用车购置及运行费反映单 位公务用车购置费及租用费、燃料费、维修费、过路过桥费、 保险费、安全奖励费用等支出；公务接待费反映单位按规定 开支的各类公务接待（含外宾接待）支出。</w:t>
      </w:r>
    </w:p>
    <w:p>
      <w:pPr>
        <w:ind w:left="0" w:firstLineChars="200" w:firstLine="640"/>
        <w:jc w:val="both"/>
        <w:rPr>
          <w:rFonts w:ascii="华文仿宋" w:eastAsia="华文仿宋" w:cs="华文仿宋" w:hAnsi="华文仿宋" w:hint="eastAsia"/>
          <w:sz w:val="32"/>
          <w:szCs w:val="32"/>
        </w:rPr>
      </w:pPr>
      <w:r>
        <w:rPr>
          <w:rFonts w:ascii="仿宋_GB2312" w:eastAsia="仿宋_GB2312" w:hint="eastAsia"/>
          <w:b/>
          <w:sz w:val="32"/>
          <w:szCs w:val="32"/>
          <w:lang w:val="en-US" w:eastAsia="zh-CN"/>
        </w:rPr>
        <w:t>8.</w:t>
      </w:r>
      <w:r>
        <w:rPr>
          <w:rFonts w:ascii="仿宋_GB2312" w:eastAsia="仿宋_GB2312" w:hint="eastAsia"/>
          <w:b/>
          <w:sz w:val="32"/>
          <w:szCs w:val="32"/>
        </w:rPr>
        <w:t>机关运行经费：</w:t>
      </w:r>
      <w:r>
        <w:rPr>
          <w:rFonts w:ascii="仿宋_GB2312" w:eastAsia="仿宋_GB2312" w:hint="eastAsia"/>
          <w:sz w:val="32"/>
          <w:szCs w:val="32"/>
        </w:rPr>
        <w:t>指各部门的公用经费，包括办公及印刷费、邮电费、差旅费、会议费、福利费、日常维护费、专用材料及一般设备购置费、办公用房水电费、办公用房取暖费、办公用房物业管理费、办公用车运行维护费以及其他费用。</w:t>
      </w:r>
    </w:p>
    <w:p>
      <w:pPr>
        <w:ind w:left="0" w:firstLineChars="200" w:firstLine="640"/>
        <w:jc w:val="both"/>
        <w:rPr>
          <w:rFonts w:ascii="华文仿宋" w:eastAsia="华文仿宋" w:cs="华文仿宋" w:hAnsi="华文仿宋" w:hint="eastAsia"/>
          <w:b/>
          <w:bCs/>
          <w:sz w:val="32"/>
          <w:szCs w:val="32"/>
        </w:rPr>
      </w:pPr>
      <w:r>
        <w:rPr>
          <w:rFonts w:ascii="华文仿宋" w:eastAsia="华文仿宋" w:cs="华文仿宋" w:hAnsi="华文仿宋" w:hint="eastAsia"/>
          <w:b/>
          <w:bCs/>
          <w:sz w:val="32"/>
          <w:szCs w:val="32"/>
        </w:rPr>
        <w:t>9. 社会保障和就业支出（类）行政事业单位离退休（款） 归口管理的行政单位离退休（项）：</w:t>
      </w:r>
      <w:r>
        <w:rPr>
          <w:rFonts w:ascii="华文仿宋" w:eastAsia="华文仿宋" w:cs="华文仿宋" w:hAnsi="华文仿宋" w:hint="eastAsia"/>
          <w:sz w:val="32"/>
          <w:szCs w:val="32"/>
        </w:rPr>
        <w:t xml:space="preserve">反映实行归口管理的行 政单位（包括实行公务员管理的事业单位）开支的离退休经 费。 </w:t>
      </w:r>
    </w:p>
    <w:p>
      <w:pPr>
        <w:ind w:left="0" w:firstLineChars="200" w:firstLine="640"/>
        <w:jc w:val="both"/>
        <w:rPr>
          <w:rFonts w:ascii="华文仿宋" w:eastAsia="华文仿宋" w:cs="华文仿宋" w:hAnsi="华文仿宋" w:hint="eastAsia"/>
          <w:b/>
          <w:bCs/>
          <w:sz w:val="32"/>
          <w:szCs w:val="32"/>
        </w:rPr>
      </w:pPr>
      <w:r>
        <w:rPr>
          <w:rFonts w:ascii="华文仿宋" w:eastAsia="华文仿宋" w:cs="华文仿宋" w:hAnsi="华文仿宋" w:hint="eastAsia"/>
          <w:b/>
          <w:bCs/>
          <w:sz w:val="32"/>
          <w:szCs w:val="32"/>
        </w:rPr>
        <w:t>10.社会保障和就业支出（类）行政事业单位离退休（款） 事业单位离退休（项）：</w:t>
      </w:r>
      <w:r>
        <w:rPr>
          <w:rFonts w:ascii="华文仿宋" w:eastAsia="华文仿宋" w:cs="华文仿宋" w:hAnsi="华文仿宋" w:hint="eastAsia"/>
          <w:sz w:val="32"/>
          <w:szCs w:val="32"/>
        </w:rPr>
        <w:t xml:space="preserve">实行归口管理的事业单位开支的离 退休经费。 </w:t>
      </w:r>
    </w:p>
    <w:p>
      <w:pPr>
        <w:ind w:left="0" w:firstLineChars="200" w:firstLine="640"/>
        <w:jc w:val="both"/>
        <w:rPr>
          <w:rFonts w:ascii="华文仿宋" w:eastAsia="华文仿宋" w:cs="华文仿宋" w:hAnsi="华文仿宋" w:hint="eastAsia"/>
          <w:b/>
          <w:bCs/>
          <w:sz w:val="32"/>
          <w:szCs w:val="32"/>
        </w:rPr>
      </w:pPr>
      <w:r>
        <w:rPr>
          <w:rFonts w:ascii="华文仿宋" w:eastAsia="华文仿宋" w:cs="华文仿宋" w:hAnsi="华文仿宋" w:hint="eastAsia"/>
          <w:b/>
          <w:bCs/>
          <w:sz w:val="32"/>
          <w:szCs w:val="32"/>
        </w:rPr>
        <w:t>11.医疗卫生与计划生育支出（类）医疗卫生管理事务 （款）行政运行（项）：</w:t>
      </w:r>
      <w:r>
        <w:rPr>
          <w:rFonts w:ascii="华文仿宋" w:eastAsia="华文仿宋" w:cs="华文仿宋" w:hAnsi="华文仿宋" w:hint="eastAsia"/>
          <w:sz w:val="32"/>
          <w:szCs w:val="32"/>
        </w:rPr>
        <w:t xml:space="preserve">反映行政单位的基本支出。 </w:t>
      </w:r>
    </w:p>
    <w:p>
      <w:pPr>
        <w:ind w:left="0" w:firstLineChars="200" w:firstLine="640"/>
        <w:jc w:val="both"/>
        <w:rPr>
          <w:rFonts w:ascii="华文仿宋" w:eastAsia="华文仿宋" w:cs="华文仿宋" w:hAnsi="华文仿宋" w:hint="eastAsia"/>
          <w:sz w:val="32"/>
          <w:szCs w:val="32"/>
        </w:rPr>
      </w:pPr>
      <w:r>
        <w:rPr>
          <w:rFonts w:ascii="华文仿宋" w:eastAsia="华文仿宋" w:cs="华文仿宋" w:hAnsi="华文仿宋" w:hint="eastAsia"/>
          <w:sz w:val="32"/>
          <w:szCs w:val="32"/>
        </w:rPr>
        <w:t>12.</w:t>
      </w:r>
      <w:r>
        <w:rPr>
          <w:rFonts w:ascii="华文仿宋" w:eastAsia="华文仿宋" w:cs="华文仿宋" w:hAnsi="华文仿宋" w:hint="eastAsia"/>
          <w:b/>
          <w:bCs/>
          <w:sz w:val="32"/>
          <w:szCs w:val="32"/>
        </w:rPr>
        <w:t>医疗卫生与计划生育支出（类）医疗卫生管理事务 （款）一般行政管理事务（项）：</w:t>
      </w:r>
      <w:r>
        <w:rPr>
          <w:rFonts w:ascii="华文仿宋" w:eastAsia="华文仿宋" w:cs="华文仿宋" w:hAnsi="华文仿宋" w:hint="eastAsia"/>
          <w:sz w:val="32"/>
          <w:szCs w:val="32"/>
        </w:rPr>
        <w:t xml:space="preserve">反映行政单位未单独设置项级科目的其他项目支出。 </w:t>
      </w:r>
    </w:p>
    <w:p>
      <w:pPr>
        <w:ind w:left="0" w:firstLineChars="200" w:firstLine="640"/>
        <w:jc w:val="both"/>
        <w:rPr>
          <w:rFonts w:ascii="华文仿宋" w:eastAsia="华文仿宋" w:cs="华文仿宋" w:hAnsi="华文仿宋" w:hint="eastAsia"/>
          <w:sz w:val="32"/>
          <w:szCs w:val="32"/>
        </w:rPr>
      </w:pPr>
      <w:r>
        <w:rPr>
          <w:rFonts w:ascii="华文仿宋" w:eastAsia="华文仿宋" w:cs="华文仿宋" w:hAnsi="华文仿宋" w:hint="eastAsia"/>
          <w:sz w:val="32"/>
          <w:szCs w:val="32"/>
        </w:rPr>
        <w:t>13.</w:t>
      </w:r>
      <w:r>
        <w:rPr>
          <w:rFonts w:ascii="华文仿宋" w:eastAsia="华文仿宋" w:cs="华文仿宋" w:hAnsi="华文仿宋" w:hint="eastAsia"/>
          <w:b/>
          <w:bCs/>
          <w:sz w:val="32"/>
          <w:szCs w:val="32"/>
        </w:rPr>
        <w:t>医疗卫生与计划生育支出（类）医疗卫生管理事务 （款）机关服务（项）：</w:t>
      </w:r>
      <w:r>
        <w:rPr>
          <w:rFonts w:ascii="华文仿宋" w:eastAsia="华文仿宋" w:cs="华文仿宋" w:hAnsi="华文仿宋" w:hint="eastAsia"/>
          <w:sz w:val="32"/>
          <w:szCs w:val="32"/>
        </w:rPr>
        <w:t>反映行政单位提供后勤服务的各类后勤服务中心、医务室等附属事业单位的支出。</w:t>
      </w:r>
    </w:p>
    <w:p>
      <w:pPr>
        <w:ind w:left="0" w:firstLineChars="200" w:firstLine="640"/>
        <w:jc w:val="both"/>
        <w:rPr>
          <w:rFonts w:ascii="华文仿宋" w:eastAsia="华文仿宋" w:cs="华文仿宋" w:hAnsi="华文仿宋" w:hint="eastAsia"/>
          <w:sz w:val="32"/>
          <w:szCs w:val="32"/>
        </w:rPr>
      </w:pPr>
      <w:r>
        <w:rPr>
          <w:rFonts w:ascii="华文仿宋" w:eastAsia="华文仿宋" w:cs="华文仿宋" w:hAnsi="华文仿宋" w:hint="eastAsia"/>
          <w:sz w:val="32"/>
          <w:szCs w:val="32"/>
        </w:rPr>
        <w:t>14.</w:t>
      </w:r>
      <w:r>
        <w:rPr>
          <w:rFonts w:ascii="华文仿宋" w:eastAsia="华文仿宋" w:cs="华文仿宋" w:hAnsi="华文仿宋" w:hint="eastAsia"/>
          <w:b/>
          <w:bCs/>
          <w:sz w:val="32"/>
          <w:szCs w:val="32"/>
        </w:rPr>
        <w:t>医疗卫生与计划生育支出（类）医疗卫生管理事务 （款）其他医疗卫生与计划生育管理事务支出（项）：</w:t>
      </w:r>
      <w:r>
        <w:rPr>
          <w:rFonts w:ascii="华文仿宋" w:eastAsia="华文仿宋" w:cs="华文仿宋" w:hAnsi="华文仿宋" w:hint="eastAsia"/>
          <w:sz w:val="32"/>
          <w:szCs w:val="32"/>
        </w:rPr>
        <w:t>反映其他用于医疗卫生与计划生育管理事务方面的支出。</w:t>
      </w:r>
    </w:p>
    <w:p>
      <w:pPr>
        <w:ind w:left="0" w:firstLineChars="200" w:firstLine="640"/>
        <w:jc w:val="both"/>
        <w:rPr>
          <w:rFonts w:ascii="华文仿宋" w:eastAsia="华文仿宋" w:cs="华文仿宋" w:hAnsi="华文仿宋" w:hint="eastAsia"/>
          <w:sz w:val="32"/>
          <w:szCs w:val="32"/>
        </w:rPr>
      </w:pPr>
      <w:r>
        <w:rPr>
          <w:rFonts w:ascii="华文仿宋" w:eastAsia="华文仿宋" w:cs="华文仿宋" w:hAnsi="华文仿宋" w:hint="eastAsia"/>
          <w:b/>
          <w:bCs/>
          <w:sz w:val="32"/>
          <w:szCs w:val="32"/>
        </w:rPr>
        <w:t>15. 医疗卫生与计划生育支出（类）公立医院（款）综合医院（项）：</w:t>
      </w:r>
      <w:r>
        <w:rPr>
          <w:rFonts w:ascii="华文仿宋" w:eastAsia="华文仿宋" w:cs="华文仿宋" w:hAnsi="华文仿宋" w:hint="eastAsia"/>
          <w:sz w:val="32"/>
          <w:szCs w:val="32"/>
        </w:rPr>
        <w:t>反映卫生和计划生育、中医部门所属的城市综合性医院、独立门诊、教学医院、疗养院和县医院支出。</w:t>
      </w:r>
    </w:p>
    <w:p>
      <w:pPr>
        <w:ind w:left="0" w:firstLineChars="200" w:firstLine="640"/>
        <w:jc w:val="both"/>
        <w:rPr>
          <w:rFonts w:ascii="华文仿宋" w:eastAsia="华文仿宋" w:cs="华文仿宋" w:hAnsi="华文仿宋" w:hint="eastAsia"/>
          <w:sz w:val="32"/>
          <w:szCs w:val="32"/>
        </w:rPr>
      </w:pPr>
      <w:r>
        <w:rPr>
          <w:rFonts w:ascii="华文仿宋" w:eastAsia="华文仿宋" w:cs="华文仿宋" w:hAnsi="华文仿宋" w:hint="eastAsia"/>
          <w:b/>
          <w:bCs/>
          <w:sz w:val="32"/>
          <w:szCs w:val="32"/>
        </w:rPr>
        <w:t>16. 医疗卫生与计划生育支出（类）公立医院（款）中医（民族）医院（项）：</w:t>
      </w:r>
      <w:r>
        <w:rPr>
          <w:rFonts w:ascii="华文仿宋" w:eastAsia="华文仿宋" w:cs="华文仿宋" w:hAnsi="华文仿宋" w:hint="eastAsia"/>
          <w:sz w:val="32"/>
          <w:szCs w:val="32"/>
        </w:rPr>
        <w:t>反映卫生和计划生育、中医部门所属的中医院、中西医结合医院、民族医院的支出。</w:t>
      </w:r>
    </w:p>
    <w:p>
      <w:pPr>
        <w:ind w:left="0" w:firstLineChars="200" w:firstLine="640"/>
        <w:jc w:val="both"/>
        <w:rPr>
          <w:rFonts w:ascii="华文仿宋" w:eastAsia="华文仿宋" w:cs="华文仿宋" w:hAnsi="华文仿宋" w:hint="eastAsia"/>
          <w:sz w:val="32"/>
          <w:szCs w:val="32"/>
        </w:rPr>
      </w:pPr>
      <w:r>
        <w:rPr>
          <w:rFonts w:ascii="华文仿宋" w:eastAsia="华文仿宋" w:cs="华文仿宋" w:hAnsi="华文仿宋" w:hint="eastAsia"/>
          <w:b/>
          <w:bCs/>
          <w:sz w:val="32"/>
          <w:szCs w:val="32"/>
        </w:rPr>
        <w:t>17. 住房保障支出（类）住房改革支出（款）住房公积金（项）：</w:t>
      </w:r>
      <w:r>
        <w:rPr>
          <w:rFonts w:ascii="华文仿宋" w:eastAsia="华文仿宋" w:cs="华文仿宋" w:hAnsi="华文仿宋" w:hint="eastAsia"/>
          <w:sz w:val="32"/>
          <w:szCs w:val="32"/>
        </w:rPr>
        <w:t>反映行政事业单位按人力资源和社会保障部、财政部规定的基本工资和津贴补贴以及规定比例为职工缴纳的住房公积金。</w:t>
      </w:r>
    </w:p>
    <w:p>
      <w:pPr>
        <w:ind w:left="0" w:firstLineChars="200" w:firstLine="640"/>
        <w:jc w:val="both"/>
        <w:rPr>
          <w:rFonts w:ascii="华文仿宋" w:eastAsia="华文仿宋" w:cs="华文仿宋" w:hAnsi="华文仿宋" w:hint="eastAsia"/>
          <w:sz w:val="32"/>
          <w:szCs w:val="32"/>
        </w:rPr>
      </w:pPr>
      <w:r>
        <w:rPr>
          <w:rFonts w:ascii="华文仿宋" w:eastAsia="华文仿宋" w:cs="华文仿宋" w:hAnsi="华文仿宋" w:hint="eastAsia"/>
          <w:b/>
          <w:bCs/>
          <w:sz w:val="32"/>
          <w:szCs w:val="32"/>
          <w:lang w:val="en-US" w:eastAsia="zh-CN"/>
        </w:rPr>
        <w:t>1</w:t>
      </w:r>
      <w:r>
        <w:rPr>
          <w:rFonts w:ascii="华文仿宋" w:eastAsia="华文仿宋" w:cs="华文仿宋" w:hAnsi="华文仿宋" w:hint="eastAsia"/>
          <w:b/>
          <w:bCs/>
          <w:sz w:val="32"/>
          <w:szCs w:val="32"/>
        </w:rPr>
        <w:t>8.教育支出（类）职业教育（款）中专教育（项）：</w:t>
      </w:r>
      <w:r>
        <w:rPr>
          <w:rFonts w:ascii="华文仿宋" w:eastAsia="华文仿宋" w:cs="华文仿宋" w:hAnsi="华文仿宋" w:hint="eastAsia"/>
          <w:sz w:val="32"/>
          <w:szCs w:val="32"/>
        </w:rPr>
        <w:t xml:space="preserve">反映各部门举办的各类中等专业学校的支出。 </w:t>
      </w:r>
    </w:p>
    <w:p>
      <w:pPr>
        <w:ind w:left="0" w:firstLineChars="200" w:firstLine="640"/>
        <w:jc w:val="both"/>
        <w:rPr>
          <w:rFonts w:ascii="华文仿宋" w:eastAsia="华文仿宋" w:cs="华文仿宋" w:hAnsi="华文仿宋" w:hint="eastAsia"/>
          <w:sz w:val="32"/>
          <w:szCs w:val="32"/>
          <w:lang w:val="en-US" w:eastAsia="zh-CN"/>
        </w:rPr>
      </w:pPr>
    </w:p>
    <w:p>
      <w:pPr>
        <w:spacing w:line="560" w:lineRule="exact"/>
        <w:ind w:firstLineChars="200" w:firstLine="640"/>
        <w:jc w:val="left"/>
        <w:rPr>
          <w:rFonts w:ascii="仿宋_GB2312" w:eastAsia="仿宋_GB2312"/>
          <w:b/>
          <w:sz w:val="32"/>
          <w:szCs w:val="32"/>
        </w:rPr>
      </w:pPr>
    </w:p>
    <w:p>
      <w:pPr>
        <w:spacing w:line="560" w:lineRule="exact"/>
        <w:ind w:firstLineChars="200" w:firstLine="640"/>
        <w:jc w:val="left"/>
        <w:rPr>
          <w:rFonts w:ascii="仿宋_GB2312" w:eastAsia="仿宋_GB2312"/>
          <w:b/>
          <w:sz w:val="32"/>
          <w:szCs w:val="32"/>
        </w:rPr>
      </w:pPr>
    </w:p>
    <w:sectPr>
      <w:footerReference w:type="default" r:id="rId4"/>
      <w:footerReference w:type="first" r:id="rId5"/>
      <w:pgSz w:w="11906" w:h="16838"/>
      <w:pgMar w:top="1440" w:right="1800" w:bottom="1440" w:left="1800" w:header="851" w:footer="992" w:gutter="0"/>
      <w:pgNumType w:fmt="numberInDash" w:start="1"/>
      <w:cols w:num="1" w:space="720"/>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2010601030101010101"/>
    <w:charset w:val="86"/>
    <w:family w:val="auto"/>
    <w:pitch w:val="variable"/>
    <w:sig w:usb0="00000001" w:usb1="080E0000" w:usb2="00000000" w:usb3="00000000" w:csb0="00040000" w:csb1="00000000"/>
  </w:font>
  <w:font w:name="宋体">
    <w:altName w:val="仿宋"/>
    <w:panose1 w:val="02010600030101010101"/>
    <w:charset w:val="86"/>
    <w:family w:val="auto"/>
    <w:pitch w:val="variable"/>
    <w:sig w:usb0="00000003" w:usb1="288F0000" w:usb2="00000006" w:usb3="00000000" w:csb0="00040001" w:csb1="00000000"/>
  </w:font>
  <w:font w:name="黑体">
    <w:panose1 w:val="02010609060101010101"/>
    <w:charset w:val="86"/>
    <w:family w:val="auto"/>
    <w:pitch w:val="variable"/>
    <w:sig w:usb0="800002BF" w:usb1="38CF7CFA" w:usb2="00000016" w:usb3="00000000" w:csb0="00040001" w:csb1="00000000"/>
  </w:font>
  <w:font w:name="仿宋_GB2312">
    <w:altName w:val="仿宋"/>
    <w:panose1 w:val="00000000000000000000"/>
    <w:charset w:val="86"/>
    <w:family w:val="modern"/>
    <w:pitch w:val="variable"/>
    <w:sig w:usb0="00000000" w:usb1="00000000" w:usb2="00000010" w:usb3="00000000" w:csb0="00040000" w:csb1="00000000"/>
  </w:font>
  <w:font w:name="仿宋">
    <w:panose1 w:val="02010609060101010101"/>
    <w:charset w:val="86"/>
    <w:family w:val="modern"/>
    <w:pitch w:val="variable"/>
    <w:sig w:usb0="800002BF" w:usb1="38CF7CFA" w:usb2="00000016" w:usb3="00000000" w:csb0="00040001" w:csb1="00000000"/>
  </w:font>
  <w:font w:name="华文仿宋">
    <w:altName w:val="仿宋"/>
    <w:panose1 w:val="02010600040101010101"/>
    <w:charset w:val="86"/>
    <w:family w:val="auto"/>
    <w:pitch w:val="variable"/>
    <w:sig w:usb0="00000287" w:usb1="080F0000" w:usb2="00000000" w:usb3="00000000" w:csb0="0004009F" w:csb1="DFD70000"/>
  </w:font>
  <w:font w:name="楷体">
    <w:panose1 w:val="02010609060101010101"/>
    <w:charset w:val="86"/>
    <w:family w:val="modern"/>
    <w:pitch w:val="variable"/>
    <w:sig w:usb0="800002BF" w:usb1="38CF7CFA" w:usb2="00000016" w:usb3="00000000" w:csb0="00040001" w:csb1="00000000"/>
  </w:font>
  <w:font w:name="Times New Roman">
    <w:altName w:val="DejaVu Sans"/>
    <w:panose1 w:val="02020603050405020304"/>
    <w:charset w:val="00"/>
    <w:family w:val="roman"/>
    <w:pitch w:val="variable"/>
    <w:sig w:usb0="20007A87" w:usb1="80000000" w:usb2="00000008" w:usb3="00000000" w:csb0="000001FF" w:csb1="00000000"/>
  </w:font>
  <w:font w:name="Lucida Sans">
    <w:panose1 w:val="020B0602030504020204"/>
    <w:charset w:val="00"/>
    <w:family w:val="auto"/>
    <w:pitch w:val="variable"/>
    <w:sig w:usb0="00000003" w:usb1="00000000" w:usb2="00000000" w:usb3="00000000" w:csb0="20000001" w:csb1="00000000"/>
  </w:font>
  <w:font w:name="文泉驿微米黑">
    <w:panose1 w:val="020B0606030804020204"/>
    <w:charset w:val="86"/>
    <w:family w:val="auto"/>
    <w:pitch w:val="variable"/>
    <w:sig w:usb0="E10002EF" w:usb1="6BDFFCFB" w:usb2="00800036" w:usb3="00000000" w:csb0="603E019F" w:csb1="DFD70000"/>
  </w:font>
  <w:font w:name="Verdana">
    <w:altName w:val="DejaVu Sans"/>
    <w:panose1 w:val="020B0604030504040204"/>
    <w:charset w:val="00"/>
    <w:family w:val="swiss"/>
    <w:pitch w:val="variable"/>
    <w:sig w:usb0="A10006FF" w:usb1="4000205B" w:usb2="00000010" w:usb3="00000000" w:csb0="2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framePr w:w="0" w:hRule="auto" w:wrap="around" w:vAnchor="text" w:hAnchor="margin" w:xAlign="center" w:y="1" w:anchorLock="0"/>
      <w:tabs>
        <w:tab w:val="center" w:pos="4153"/>
        <w:tab w:val="right" w:pos="8306"/>
      </w:tabs>
      <w:rPr>
        <w:rStyle w:val="19"/>
      </w:rPr>
    </w:pPr>
    <w:r>
      <w:fldChar w:fldCharType="begin"/>
    </w:r>
    <w:r>
      <w:rPr>
        <w:rStyle w:val="19"/>
      </w:rPr>
      <w:instrText xml:space="preserve">PAGE  </w:instrText>
    </w:r>
    <w:r>
      <w:fldChar w:fldCharType="separate"/>
    </w:r>
    <w:r>
      <w:rPr>
        <w:rStyle w:val="19"/>
      </w:rPr>
      <w:t>10</w:t>
    </w:r>
    <w:r>
      <w:fldChar w:fldCharType="end"/>
    </w:r>
  </w:p>
  <w:p>
    <w:pPr>
      <w:pStyle w:val="16"/>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framePr w:w="0" w:hRule="auto" w:wrap="around" w:vAnchor="text" w:hAnchor="margin" w:xAlign="center" w:y="1" w:anchorLock="0"/>
      <w:tabs>
        <w:tab w:val="center" w:pos="4153"/>
        <w:tab w:val="right" w:pos="8306"/>
      </w:tabs>
      <w:rPr>
        <w:rStyle w:val="19"/>
      </w:rPr>
    </w:pPr>
    <w:r>
      <w:fldChar w:fldCharType="begin"/>
    </w:r>
    <w:r>
      <w:rPr>
        <w:rStyle w:val="19"/>
      </w:rPr>
      <w:instrText xml:space="preserve">PAGE  </w:instrText>
    </w:r>
    <w:r>
      <w:fldChar w:fldCharType="separate"/>
    </w:r>
    <w:r>
      <w:t xml:space="preserve"> </w:t>
    </w:r>
    <w:r>
      <w:fldChar w:fldCharType="end"/>
    </w:r>
  </w:p>
  <w:p>
    <w:pPr>
      <w:pStyle w:val="16"/>
      <w:tabs>
        <w:tab w:val="center" w:pos="4153"/>
        <w:tab w:val="right" w:pos="8306"/>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pPr>
    <w:r>
      <w:rPr>
        <w:sz w:val="18"/>
      </w:rPr>
      <mc:AlternateContent>
        <mc:Choice Requires="wps">
          <w:drawing>
            <wp:anchor distT="0" distB="0" distL="114300" distR="114300" simplePos="0" relativeHeight="13" behindDoc="0" locked="0" layoutInCell="1" hidden="0" allowOverlap="1">
              <wp:simplePos x="0" y="0"/>
              <wp:positionH relativeFrom="margin">
                <wp:align>center</wp:align>
              </wp:positionH>
              <wp:positionV relativeFrom="paragraph">
                <wp:posOffset>0</wp:posOffset>
              </wp:positionV>
              <wp:extent cx="227874" cy="133052"/>
              <wp:effectExtent l="0" t="0" r="0" b="0"/>
              <wp:wrapNone/>
              <wp:docPr id="1" name="文本框 1"/>
              <wp:cNvGraphicFramePr>
                <a:graphicFrameLocks noChangeAspect="0"/>
              </wp:cNvGraphicFramePr>
              <a:graphic>
                <a:graphicData uri="http://schemas.microsoft.com/office/word/2010/wordprocessingShape">
                  <wps:wsp>
                    <wps:cNvSpPr/>
                    <wps:spPr>
                      <a:xfrm rot="0">
                        <a:off x="0" y="0"/>
                        <a:ext cx="227874" cy="133052"/>
                      </a:xfrm>
                      <a:prstGeom prst="rect"/>
                      <a:noFill/>
                      <a:ln w="15875" cmpd="sng" cap="flat">
                        <a:noFill/>
                        <a:prstDash val="solid"/>
                        <a:round/>
                      </a:ln>
                    </wps:spPr>
                    <wps:txbx id="1">
                      <w:txbxContent>
                        <w:p>
                          <w:pPr>
                            <w:pStyle w:val="16"/>
                            <w:tabs>
                              <w:tab w:val="center" w:pos="4153"/>
                              <w:tab w:val="right" w:pos="8306"/>
                            </w:tabs>
                            <w:rPr>
                              <w:rStyle w:val="19"/>
                            </w:rPr>
                          </w:pPr>
                          <w:r>
                            <w:fldChar w:fldCharType="begin"/>
                          </w:r>
                          <w:r>
                            <w:rPr>
                              <w:rStyle w:val="19"/>
                            </w:rPr>
                            <w:instrText xml:space="preserve">PAGE  </w:instrText>
                          </w:r>
                          <w:r>
                            <w:fldChar w:fldCharType="separate"/>
                          </w:r>
                          <w:r>
                            <w:rPr>
                              <w:rStyle w:val="19"/>
                            </w:rPr>
                            <w:t>10</w:t>
                          </w:r>
                          <w:r>
                            <w:fldChar w:fldCharType="end"/>
                          </w:r>
                        </w:p>
                      </w:txbxContent>
                    </wps:txbx>
                    <wps:bodyPr vert="horz" wrap="none" lIns="0" tIns="0" rIns="0" bIns="0" anchor="t" anchorCtr="0" upright="0">
                      <a:spAutoFit/>
                    </wps:bodyPr>
                  </wps:wsp>
                </a:graphicData>
              </a:graphic>
            </wp:anchor>
          </w:drawing>
        </mc:Choice>
        <mc:Fallback>
          <w:pict>
            <v:rect type="#_x0000_t1" id="文本框 1" o:spid="_x0000_s2" filled="f" stroked="f" strokeweight="1.25pt" style="position:absolute;margin-left:0.0pt;margin-top:0.0pt;width:17.942871pt;height:10.4765625pt;z-index:13;mso-position-horizontal:center;mso-position-horizontal-relative:margin;mso-position-vertical:absolute;mso-wrap-style:none;">
              <v:stroke/>
              <v:textbox id="848" inset="0mm,0mm,0mm,0mm" o:insetmode="custom" style="layout-flow:horizontal;v-text-anchor:top;mso-fit-shape-to-text:t;">
                <w:txbxContent>
                  <w:p>
                    <w:pPr>
                      <w:pStyle w:val="16"/>
                      <w:tabs>
                        <w:tab w:val="center" w:pos="4153"/>
                        <w:tab w:val="right" w:pos="8306"/>
                      </w:tabs>
                      <w:rPr>
                        <w:rStyle w:val="19"/>
                      </w:rPr>
                    </w:pPr>
                    <w:r>
                      <w:fldChar w:fldCharType="begin"/>
                    </w:r>
                    <w:r>
                      <w:rPr>
                        <w:rStyle w:val="19"/>
                      </w:rPr>
                      <w:instrText xml:space="preserve">PAGE  </w:instrText>
                    </w:r>
                    <w:r>
                      <w:fldChar w:fldCharType="separate"/>
                    </w:r>
                    <w:r>
                      <w:rPr>
                        <w:rStyle w:val="19"/>
                      </w:rPr>
                      <w:t>10</w:t>
                    </w:r>
                    <w:r>
                      <w:fldChar w:fldCharType="end"/>
                    </w:r>
                  </w:p>
                </w:txbxContent>
              </v:textbox>
            </v:rect>
          </w:pict>
        </mc:Fallback>
      </mc:AlternateContent>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pPr>
    <w:r>
      <w:rPr>
        <w:sz w:val="18"/>
      </w:rPr>
      <mc:AlternateContent>
        <mc:Choice Requires="wps">
          <w:drawing>
            <wp:anchor distT="0" distB="0" distL="114300" distR="114300" simplePos="0" relativeHeight="15" behindDoc="0" locked="0" layoutInCell="1" hidden="0" allowOverlap="1">
              <wp:simplePos x="0" y="0"/>
              <wp:positionH relativeFrom="margin">
                <wp:align>center</wp:align>
              </wp:positionH>
              <wp:positionV relativeFrom="paragraph">
                <wp:posOffset>0</wp:posOffset>
              </wp:positionV>
              <wp:extent cx="227874" cy="133052"/>
              <wp:effectExtent l="0" t="0" r="0" b="0"/>
              <wp:wrapNone/>
              <wp:docPr id="2" name="文本框 2"/>
              <wp:cNvGraphicFramePr>
                <a:graphicFrameLocks noChangeAspect="0"/>
              </wp:cNvGraphicFramePr>
              <a:graphic>
                <a:graphicData uri="http://schemas.microsoft.com/office/word/2010/wordprocessingShape">
                  <wps:wsp>
                    <wps:cNvSpPr/>
                    <wps:spPr>
                      <a:xfrm rot="0">
                        <a:off x="0" y="0"/>
                        <a:ext cx="227874" cy="133052"/>
                      </a:xfrm>
                      <a:prstGeom prst="rect"/>
                      <a:noFill/>
                      <a:ln w="15875" cmpd="sng" cap="flat">
                        <a:noFill/>
                        <a:prstDash val="solid"/>
                        <a:round/>
                      </a:ln>
                    </wps:spPr>
                    <wps:txbx id="3">
                      <w:txbxContent>
                        <w:p>
                          <w:pPr>
                            <w:pStyle w:val="16"/>
                            <w:tabs>
                              <w:tab w:val="center" w:pos="4153"/>
                              <w:tab w:val="right" w:pos="8306"/>
                            </w:tabs>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rect type="#_x0000_t1" id="文本框 2" o:spid="_x0000_s4" filled="f" stroked="f" strokeweight="1.25pt" style="position:absolute;margin-left:0.0pt;margin-top:0.0pt;width:17.942871pt;height:10.4765625pt;z-index:15;mso-position-horizontal:center;mso-position-horizontal-relative:margin;mso-position-vertical:absolute;mso-wrap-style:none;">
              <v:stroke/>
              <v:textbox id="849" inset="0mm,0mm,0mm,0mm" o:insetmode="custom" style="layout-flow:horizontal;v-text-anchor:top;mso-fit-shape-to-text:t;">
                <w:txbxContent>
                  <w:p>
                    <w:pPr>
                      <w:pStyle w:val="16"/>
                      <w:tabs>
                        <w:tab w:val="center" w:pos="4153"/>
                        <w:tab w:val="right" w:pos="8306"/>
                      </w:tabs>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17944171"/>
    <w:multiLevelType w:val="multilevel"/>
    <w:tmpl w:val="17944171"/>
    <w:lvl w:ilvl="0">
      <w:start w:val="1"/>
      <w:numFmt w:val="japaneseCounting"/>
      <w:lvlRestart w:val="0"/>
      <w:lvlText w:val="%1、"/>
      <w:lvlJc w:val="left"/>
      <w:pPr>
        <w:tabs>
          <w:tab w:val="num" w:pos="1260"/>
        </w:tabs>
        <w:ind w:left="126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5C60CDD5"/>
    <w:multiLevelType w:val="singleLevel"/>
    <w:tmpl w:val="5C60CDD5"/>
    <w:lvl w:ilvl="0">
      <w:start w:val="1"/>
      <w:numFmt w:val="chineseCounting"/>
      <w:lvlRestart w:val="0"/>
      <w:suff w:val="space"/>
      <w:lvlText w:val="第%1章"/>
      <w:lvlJc w:val="left"/>
      <w:pPr/>
    </w:lvl>
  </w:abstractNum>
  <w:abstractNum w:abstractNumId="2">
    <w:nsid w:val="3C273615"/>
    <w:multiLevelType w:val="singleLevel"/>
    <w:tmpl w:val="3C273615"/>
    <w:lvl w:ilvl="0">
      <w:start w:val="4"/>
      <w:numFmt w:val="chineseCounting"/>
      <w:lvlRestart w:val="0"/>
      <w:suff w:val="space"/>
      <w:lvlText w:val="第%1部分"/>
      <w:lvlJc w:val="left"/>
      <w:pPr/>
      <w:rPr>
        <w:rFonts w:hint="eastAsia"/>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compatSetting w:name="compatibilityMode" w:uri="http://schemas.microsoft.com/office/word" w:val="14"/>
  </w:compat>
  <m:mathPr>
    <m:mathFont m:val="Cambria Math"/>
    <m:brkBin m:val="before"/>
    <m:brkBinSub m:val="--"/>
    <m:smallFrac m:val="0"/>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pPr>
      <w:widowControl w:val="0"/>
      <w:jc w:val="both"/>
    </w:pPr>
    <w:rPr>
      <w:rFonts w:ascii="Times New Roman" w:eastAsia="宋体" w:cs="Times New Roman" w:hAnsi="Times New Roman"/>
      <w:kern w:val="2"/>
      <w:sz w:val="21"/>
      <w:szCs w:val="24"/>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文泉驿微米黑" w:eastAsia="黑体" w:hAnsi="文泉驿微米黑"/>
      <w:b/>
      <w:bCs/>
      <w:sz w:val="32"/>
      <w:szCs w:val="32"/>
    </w:rPr>
  </w:style>
  <w:style w:type="character" w:customStyle="1" w:styleId="2Char">
    <w:name w:val="heading 2 Char"/>
    <w:basedOn w:val="10"/>
    <w:link w:val="2"/>
    <w:rPr>
      <w:rFonts w:ascii="文泉驿微米黑" w:eastAsia="黑体" w:cs="Times New Roman" w:hAnsi="Times New Roman"/>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Times New Roman" w:eastAsia="宋体" w:cs="Times New Roman" w:hAnsi="Times New Roman"/>
      <w:b/>
      <w:bCs/>
      <w:kern w:val="2"/>
      <w:sz w:val="32"/>
      <w:szCs w:val="32"/>
      <w:lang w:val="en-US" w:eastAsia="zh-CN" w:bidi="ar-SA"/>
    </w:rPr>
  </w:style>
  <w:style w:type="character" w:default="1" w:styleId="10">
    <w:name w:val="Default Paragraph Font"/>
    <w:qFormat/>
  </w:style>
  <w:style w:type="paragraph" w:styleId="15">
    <w:name w:val="Balloon Text"/>
    <w:qFormat/>
    <w:basedOn w:val="0"/>
    <w:rPr>
      <w:sz w:val="18"/>
      <w:szCs w:val="18"/>
    </w:rPr>
  </w:style>
  <w:style w:type="paragraph" w:styleId="16">
    <w:name w:val="footer"/>
    <w:qFormat/>
    <w:basedOn w:val="0"/>
    <w:pPr>
      <w:tabs>
        <w:tab w:val="center" w:pos="4153"/>
        <w:tab w:val="right" w:pos="8306"/>
      </w:tabs>
      <w:snapToGrid w:val="0"/>
      <w:jc w:val="left"/>
    </w:pPr>
    <w:rPr>
      <w:sz w:val="18"/>
      <w:szCs w:val="18"/>
    </w:rPr>
  </w:style>
  <w:style w:type="paragraph" w:styleId="17">
    <w:name w:val="header"/>
    <w:qFormat/>
    <w:basedOn w:val="0"/>
    <w:pPr>
      <w:pBdr>
        <w:bottom w:val="single" w:sz="6" w:space="1" w:color="auto"/>
      </w:pBdr>
      <w:tabs>
        <w:tab w:val="center" w:pos="4153"/>
        <w:tab w:val="right" w:pos="8306"/>
      </w:tabs>
      <w:snapToGrid w:val="0"/>
      <w:jc w:val="center"/>
    </w:pPr>
    <w:rPr>
      <w:sz w:val="18"/>
      <w:szCs w:val="18"/>
    </w:rPr>
  </w:style>
  <w:style w:type="paragraph" w:styleId="18">
    <w:name w:val="Normal (Web)"/>
    <w:qFormat/>
    <w:basedOn w:val="0"/>
    <w:pPr>
      <w:spacing w:before="0" w:beforeAutospacing="1" w:after="0" w:afterAutospacing="1"/>
      <w:ind w:left="0" w:right="0"/>
      <w:jc w:val="left"/>
    </w:pPr>
    <w:rPr>
      <w:kern w:val="0"/>
      <w:sz w:val="24"/>
      <w:lang w:val="en-US" w:eastAsia="zh-CN"/>
    </w:rPr>
  </w:style>
  <w:style w:type="character" w:styleId="19">
    <w:name w:val="page number"/>
    <w:qFormat/>
    <w:basedOn w:val="10"/>
  </w:style>
  <w:style w:type="paragraph" w:customStyle="1" w:styleId="20">
    <w:name w:val="Char"/>
    <w:qFormat/>
    <w:basedOn w:val="0"/>
    <w:pPr>
      <w:widowControl/>
      <w:jc w:val="left"/>
    </w:pPr>
    <w:rPr>
      <w:rFonts w:ascii="Verdana" w:eastAsia="仿宋_GB2312" w:hAnsi="Verdana"/>
      <w:kern w:val="0"/>
      <w:sz w:val="28"/>
      <w:szCs w:val="2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styles" Target="styl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customXml" Target="../customXml/item1.xml"/><Relationship Id="rId10"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customProps>
</customData>
</file>

<file path=customXml/itemProps1.xml><?xml version="1.0" encoding="utf-8"?>
<ds:datastoreItem xmlns:ds="http://schemas.openxmlformats.org/officeDocument/2006/customXml" ds:itemID="{856ADF0B-8434-4FBE-85B4-34EEC8A55509}">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TotalTime>
  <Application>WPS_Yozo_Office9.0.5233.191ZH.S1</Application>
  <Pages>20</Pages>
  <Words>0</Words>
  <Characters>5647</Characters>
  <Lines>0</Lines>
  <Paragraphs>251</Paragraphs>
  <CharactersWithSpaces>7530</CharactersWithSpaces>
  <Company>Lenovo (Beijing) Limited</Company>
</Properties>
</file>

<file path=docProps/core.xml><?xml version="1.0" encoding="utf-8"?>
<cp:coreProperties xmlns:cp="http://schemas.openxmlformats.org/package/2006/metadata/core-properties" xmlns:dc="http://purl.org/dc/elements/1.1/" xmlns:dcterms="http://purl.org/dc/terms/" xmlns:xsi="http://www.w3.org/2001/XMLSchema-instance">
  <dc:title>辽宁省财政厅部门预算</dc:title>
  <dc:creator>预算处(税政处、编审中心)-王威</dc:creator>
  <cp:lastModifiedBy>thtf</cp:lastModifiedBy>
  <cp:revision>130</cp:revision>
  <cp:lastPrinted>2018-02-23T08:49:00Z</cp:lastPrinted>
  <dcterms:created xsi:type="dcterms:W3CDTF">2017-02-20T09:02:00Z</dcterms:created>
  <dcterms:modified xsi:type="dcterms:W3CDTF">2024-08-30T10:50:03Z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2052-11.1.0.8214</vt:lpwstr>
  </property>
</Properties>
</file>